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0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574"/>
        <w:gridCol w:w="1700"/>
        <w:gridCol w:w="2119"/>
        <w:gridCol w:w="5112"/>
        <w:gridCol w:w="3119"/>
      </w:tblGrid>
      <w:tr w:rsidR="006B68C7" w:rsidRPr="004318AE" w14:paraId="3780FC84" w14:textId="77777777" w:rsidTr="0052496A">
        <w:trPr>
          <w:trHeight w:val="741"/>
          <w:tblHeader/>
        </w:trPr>
        <w:tc>
          <w:tcPr>
            <w:tcW w:w="5000" w:type="pct"/>
            <w:gridSpan w:val="5"/>
          </w:tcPr>
          <w:p w14:paraId="12C78BF1" w14:textId="77777777" w:rsidR="00D13F92" w:rsidRDefault="00284411" w:rsidP="006F28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catch</w:t>
            </w:r>
            <w:r w:rsidR="00525875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up provision is being u</w:t>
            </w:r>
            <w:r w:rsidR="00525875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ed to</w:t>
            </w:r>
            <w:r w:rsidR="001917FA">
              <w:rPr>
                <w:rFonts w:asciiTheme="majorHAnsi" w:hAnsiTheme="majorHAnsi"/>
                <w:b/>
              </w:rPr>
              <w:t xml:space="preserve"> provid</w:t>
            </w:r>
            <w:r>
              <w:rPr>
                <w:rFonts w:asciiTheme="majorHAnsi" w:hAnsiTheme="majorHAnsi"/>
                <w:b/>
              </w:rPr>
              <w:t>e:</w:t>
            </w:r>
          </w:p>
          <w:p w14:paraId="0C506503" w14:textId="77777777" w:rsidR="00525875" w:rsidRDefault="00525875" w:rsidP="006F28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Targeted </w:t>
            </w:r>
            <w:r w:rsidR="007D6E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 xml:space="preserve">cademic </w:t>
            </w:r>
            <w:r w:rsidR="007D6E5A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upport to close gaps in our students’ learning; and</w:t>
            </w:r>
          </w:p>
          <w:p w14:paraId="033FCA02" w14:textId="77777777" w:rsidR="00525875" w:rsidRDefault="008E57D0" w:rsidP="006F28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Wider strategies </w:t>
            </w:r>
            <w:r w:rsidR="001917FA">
              <w:rPr>
                <w:rFonts w:asciiTheme="majorHAnsi" w:hAnsiTheme="majorHAnsi"/>
                <w:b/>
              </w:rPr>
              <w:t xml:space="preserve">that </w:t>
            </w:r>
            <w:proofErr w:type="spellStart"/>
            <w:r w:rsidR="002355D6">
              <w:rPr>
                <w:rFonts w:asciiTheme="majorHAnsi" w:hAnsiTheme="majorHAnsi"/>
                <w:b/>
              </w:rPr>
              <w:t>prioritise</w:t>
            </w:r>
            <w:proofErr w:type="spellEnd"/>
            <w:r w:rsidR="002355D6">
              <w:rPr>
                <w:rFonts w:asciiTheme="majorHAnsi" w:hAnsiTheme="majorHAnsi"/>
                <w:b/>
              </w:rPr>
              <w:t xml:space="preserve"> the </w:t>
            </w:r>
            <w:r w:rsidR="007D6E5A">
              <w:rPr>
                <w:rFonts w:asciiTheme="majorHAnsi" w:hAnsiTheme="majorHAnsi"/>
                <w:b/>
              </w:rPr>
              <w:t>welfare of our students</w:t>
            </w:r>
            <w:r w:rsidR="00862D47">
              <w:rPr>
                <w:rFonts w:asciiTheme="majorHAnsi" w:hAnsiTheme="majorHAnsi"/>
                <w:b/>
              </w:rPr>
              <w:t>.</w:t>
            </w:r>
          </w:p>
          <w:p w14:paraId="41355EC1" w14:textId="77777777" w:rsidR="00525875" w:rsidRDefault="00525875" w:rsidP="006F28FC">
            <w:pPr>
              <w:rPr>
                <w:rFonts w:asciiTheme="majorHAnsi" w:hAnsiTheme="majorHAnsi"/>
                <w:b/>
              </w:rPr>
            </w:pPr>
          </w:p>
        </w:tc>
      </w:tr>
      <w:tr w:rsidR="0052496A" w:rsidRPr="004318AE" w14:paraId="7070717C" w14:textId="77777777" w:rsidTr="00A2486A">
        <w:trPr>
          <w:trHeight w:val="741"/>
          <w:tblHeader/>
        </w:trPr>
        <w:tc>
          <w:tcPr>
            <w:tcW w:w="1144" w:type="pct"/>
          </w:tcPr>
          <w:p w14:paraId="6A641BBB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 xml:space="preserve">Focus of </w:t>
            </w:r>
            <w:r w:rsidR="0072670A">
              <w:rPr>
                <w:rFonts w:asciiTheme="majorHAnsi" w:hAnsiTheme="majorHAnsi"/>
                <w:b/>
              </w:rPr>
              <w:t>‘catch up provision’</w:t>
            </w:r>
          </w:p>
        </w:tc>
        <w:tc>
          <w:tcPr>
            <w:tcW w:w="544" w:type="pct"/>
          </w:tcPr>
          <w:p w14:paraId="1D88D597" w14:textId="77777777" w:rsidR="009679AE" w:rsidRPr="004318AE" w:rsidRDefault="009679AE" w:rsidP="00A2486A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Cost</w:t>
            </w:r>
            <w:r w:rsidR="003D2205">
              <w:rPr>
                <w:rFonts w:asciiTheme="majorHAnsi" w:hAnsiTheme="majorHAnsi"/>
                <w:b/>
              </w:rPr>
              <w:t xml:space="preserve"> ‘000</w:t>
            </w:r>
          </w:p>
        </w:tc>
        <w:tc>
          <w:tcPr>
            <w:tcW w:w="678" w:type="pct"/>
          </w:tcPr>
          <w:p w14:paraId="2576B09D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Success criteria</w:t>
            </w:r>
          </w:p>
        </w:tc>
        <w:tc>
          <w:tcPr>
            <w:tcW w:w="1636" w:type="pct"/>
          </w:tcPr>
          <w:p w14:paraId="556237B3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Imp</w:t>
            </w:r>
            <w:r w:rsidR="00742926">
              <w:rPr>
                <w:rFonts w:asciiTheme="majorHAnsi" w:hAnsiTheme="majorHAnsi"/>
                <w:b/>
              </w:rPr>
              <w:t>lementation and QA</w:t>
            </w:r>
          </w:p>
        </w:tc>
        <w:tc>
          <w:tcPr>
            <w:tcW w:w="998" w:type="pct"/>
          </w:tcPr>
          <w:p w14:paraId="33FF9E80" w14:textId="77777777" w:rsidR="009679AE" w:rsidRPr="004318AE" w:rsidRDefault="007429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Impact </w:t>
            </w:r>
            <w:r w:rsidR="009679AE">
              <w:rPr>
                <w:rFonts w:asciiTheme="majorHAnsi" w:hAnsiTheme="majorHAnsi"/>
                <w:b/>
              </w:rPr>
              <w:t>Data</w:t>
            </w:r>
          </w:p>
        </w:tc>
      </w:tr>
      <w:tr w:rsidR="00797CE3" w:rsidRPr="004318AE" w14:paraId="3D07C997" w14:textId="77777777" w:rsidTr="0052496A">
        <w:trPr>
          <w:trHeight w:val="36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24BE8BD9" w14:textId="77777777" w:rsidR="00797CE3" w:rsidRDefault="0015040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Targeted academic support </w:t>
            </w:r>
          </w:p>
        </w:tc>
      </w:tr>
      <w:tr w:rsidR="00150403" w:rsidRPr="009679AE" w14:paraId="105C2DE7" w14:textId="77777777" w:rsidTr="00453224">
        <w:trPr>
          <w:trHeight w:val="229"/>
        </w:trPr>
        <w:tc>
          <w:tcPr>
            <w:tcW w:w="1144" w:type="pct"/>
          </w:tcPr>
          <w:p w14:paraId="6ECD83D0" w14:textId="77777777" w:rsidR="00150403" w:rsidRPr="00CD2652" w:rsidRDefault="00150403" w:rsidP="00453224">
            <w:pPr>
              <w:rPr>
                <w:rFonts w:asciiTheme="majorHAnsi" w:hAnsiTheme="majorHAnsi"/>
                <w:b/>
                <w:bCs/>
              </w:rPr>
            </w:pPr>
            <w:r w:rsidRPr="00CD2652">
              <w:rPr>
                <w:rFonts w:asciiTheme="majorHAnsi" w:hAnsiTheme="majorHAnsi"/>
                <w:b/>
                <w:bCs/>
              </w:rPr>
              <w:t xml:space="preserve">Small </w:t>
            </w:r>
            <w:r>
              <w:rPr>
                <w:rFonts w:asciiTheme="majorHAnsi" w:hAnsiTheme="majorHAnsi"/>
                <w:b/>
                <w:bCs/>
              </w:rPr>
              <w:t>g</w:t>
            </w:r>
            <w:r w:rsidRPr="00CD2652">
              <w:rPr>
                <w:rFonts w:asciiTheme="majorHAnsi" w:hAnsiTheme="majorHAnsi"/>
                <w:b/>
                <w:bCs/>
              </w:rPr>
              <w:t>roup intervention</w:t>
            </w:r>
          </w:p>
          <w:p w14:paraId="5D46BA39" w14:textId="77777777" w:rsidR="00150403" w:rsidRDefault="00150403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small group intervention to help ‘close the gap’ in our students’ knowledge.</w:t>
            </w:r>
          </w:p>
          <w:p w14:paraId="7D62F9B1" w14:textId="77777777" w:rsidR="00150403" w:rsidRDefault="00150403" w:rsidP="00453224">
            <w:pPr>
              <w:rPr>
                <w:rFonts w:asciiTheme="majorHAnsi" w:hAnsiTheme="majorHAnsi"/>
              </w:rPr>
            </w:pPr>
          </w:p>
          <w:p w14:paraId="5911E519" w14:textId="77777777" w:rsidR="00150403" w:rsidRDefault="00150403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Subject specific intervention sessions offered by </w:t>
            </w:r>
            <w:r w:rsidR="00C512F9">
              <w:rPr>
                <w:rFonts w:asciiTheme="majorHAnsi" w:hAnsiTheme="majorHAnsi"/>
              </w:rPr>
              <w:t xml:space="preserve">staff </w:t>
            </w:r>
            <w:r>
              <w:rPr>
                <w:rFonts w:asciiTheme="majorHAnsi" w:hAnsiTheme="majorHAnsi"/>
              </w:rPr>
              <w:t>subject specialists:</w:t>
            </w:r>
          </w:p>
          <w:p w14:paraId="1E8EDC35" w14:textId="77777777" w:rsidR="00150403" w:rsidRDefault="00150403" w:rsidP="004532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 school program in place for small group, targeted intervention;</w:t>
            </w:r>
          </w:p>
          <w:p w14:paraId="69A294D9" w14:textId="77777777" w:rsidR="00150403" w:rsidRDefault="00150403" w:rsidP="004532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Catch up provision sessions provided afterschool every day for all year groups;</w:t>
            </w:r>
          </w:p>
          <w:p w14:paraId="1D35407F" w14:textId="77777777" w:rsidR="00150403" w:rsidRDefault="00150403" w:rsidP="004532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Afterschool ‘extra-curricular’ clubs set up so students can access ICT, Art equipment and health faculties;</w:t>
            </w:r>
          </w:p>
          <w:p w14:paraId="3F3A6580" w14:textId="3B96D4FA" w:rsidR="009A2D3B" w:rsidRDefault="009A2D3B" w:rsidP="001541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On-line tutoring for students in years 7-10</w:t>
            </w:r>
          </w:p>
          <w:p w14:paraId="1EF7FEB0" w14:textId="10DAD5B0" w:rsidR="00154152" w:rsidRDefault="00154152" w:rsidP="001541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 School for year 10 students</w:t>
            </w:r>
          </w:p>
          <w:p w14:paraId="4509BFE2" w14:textId="272540BB" w:rsidR="00150403" w:rsidRDefault="00BF4F28" w:rsidP="004433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433F2">
              <w:rPr>
                <w:rFonts w:asciiTheme="majorHAnsi" w:hAnsiTheme="majorHAnsi"/>
              </w:rPr>
              <w:t>Saturday School for EAL students in years 7-9</w:t>
            </w:r>
            <w:r w:rsidR="009A2D3B">
              <w:rPr>
                <w:rFonts w:asciiTheme="majorHAnsi" w:hAnsiTheme="majorHAnsi"/>
              </w:rPr>
              <w:t>; and</w:t>
            </w:r>
          </w:p>
          <w:p w14:paraId="2AF26268" w14:textId="4750CB04" w:rsidR="009A2D3B" w:rsidRPr="004318AE" w:rsidRDefault="009A2D3B" w:rsidP="004433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10 laptops purchased to support our students.</w:t>
            </w:r>
          </w:p>
        </w:tc>
        <w:tc>
          <w:tcPr>
            <w:tcW w:w="544" w:type="pct"/>
          </w:tcPr>
          <w:p w14:paraId="2FB5F9A9" w14:textId="77777777" w:rsidR="00150403" w:rsidRDefault="00150403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Staffing cost</w:t>
            </w:r>
            <w:r w:rsidR="0001754B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7337A5FA" w14:textId="77777777" w:rsidR="00743582" w:rsidRDefault="00743582" w:rsidP="00453224">
            <w:pPr>
              <w:rPr>
                <w:rFonts w:asciiTheme="majorHAnsi" w:hAnsiTheme="majorHAnsi"/>
              </w:rPr>
            </w:pPr>
          </w:p>
          <w:p w14:paraId="38E76301" w14:textId="77777777" w:rsidR="00743582" w:rsidRDefault="00743582" w:rsidP="00453224">
            <w:pPr>
              <w:rPr>
                <w:rFonts w:asciiTheme="majorHAnsi" w:hAnsiTheme="majorHAnsi"/>
              </w:rPr>
            </w:pPr>
          </w:p>
          <w:p w14:paraId="1FCDE885" w14:textId="77777777" w:rsidR="00743582" w:rsidRDefault="00743582" w:rsidP="00453224">
            <w:pPr>
              <w:rPr>
                <w:rFonts w:asciiTheme="majorHAnsi" w:hAnsiTheme="majorHAnsi"/>
              </w:rPr>
            </w:pPr>
          </w:p>
          <w:p w14:paraId="395DF0E9" w14:textId="77777777" w:rsidR="00743582" w:rsidRDefault="00743582" w:rsidP="00453224">
            <w:pPr>
              <w:rPr>
                <w:rFonts w:asciiTheme="majorHAnsi" w:hAnsiTheme="majorHAnsi"/>
              </w:rPr>
            </w:pPr>
          </w:p>
          <w:p w14:paraId="63EFF621" w14:textId="22C6FD01" w:rsidR="00743582" w:rsidRDefault="009A2D3B" w:rsidP="001541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07C247E1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  <w:p w14:paraId="434C27D4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  <w:p w14:paraId="5BA0C67B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  <w:p w14:paraId="41EB4E0D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  <w:p w14:paraId="7B1E1BBD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  <w:p w14:paraId="4D1B2BC1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  <w:p w14:paraId="266A5BF6" w14:textId="77777777" w:rsidR="00154152" w:rsidRDefault="00154152" w:rsidP="00154152">
            <w:pPr>
              <w:jc w:val="center"/>
              <w:rPr>
                <w:rFonts w:asciiTheme="majorHAnsi" w:hAnsiTheme="majorHAnsi"/>
              </w:rPr>
            </w:pPr>
          </w:p>
          <w:p w14:paraId="5956C5D5" w14:textId="77777777" w:rsidR="00154152" w:rsidRDefault="00154152" w:rsidP="00154152">
            <w:pPr>
              <w:jc w:val="center"/>
              <w:rPr>
                <w:rFonts w:asciiTheme="majorHAnsi" w:hAnsiTheme="majorHAnsi"/>
              </w:rPr>
            </w:pPr>
          </w:p>
          <w:p w14:paraId="70F05192" w14:textId="77777777" w:rsidR="00154152" w:rsidRDefault="00154152" w:rsidP="00154152">
            <w:pPr>
              <w:jc w:val="center"/>
              <w:rPr>
                <w:rFonts w:asciiTheme="majorHAnsi" w:hAnsiTheme="majorHAnsi"/>
              </w:rPr>
            </w:pPr>
          </w:p>
          <w:p w14:paraId="4E763C09" w14:textId="77777777" w:rsidR="00154152" w:rsidRDefault="00154152" w:rsidP="00154152">
            <w:pPr>
              <w:jc w:val="center"/>
              <w:rPr>
                <w:rFonts w:asciiTheme="majorHAnsi" w:hAnsiTheme="majorHAnsi"/>
              </w:rPr>
            </w:pPr>
          </w:p>
          <w:p w14:paraId="28E9F1A0" w14:textId="77777777" w:rsidR="00154152" w:rsidRDefault="00154152" w:rsidP="00154152">
            <w:pPr>
              <w:jc w:val="center"/>
              <w:rPr>
                <w:rFonts w:asciiTheme="majorHAnsi" w:hAnsiTheme="majorHAnsi"/>
              </w:rPr>
            </w:pPr>
          </w:p>
          <w:p w14:paraId="31E73E20" w14:textId="77777777" w:rsidR="00994E47" w:rsidRDefault="00994E47" w:rsidP="00154152">
            <w:pPr>
              <w:jc w:val="center"/>
              <w:rPr>
                <w:rFonts w:asciiTheme="majorHAnsi" w:hAnsiTheme="majorHAnsi"/>
              </w:rPr>
            </w:pPr>
          </w:p>
          <w:p w14:paraId="0F47118B" w14:textId="77777777" w:rsidR="00994E47" w:rsidRDefault="00994E47" w:rsidP="00154152">
            <w:pPr>
              <w:jc w:val="center"/>
              <w:rPr>
                <w:rFonts w:asciiTheme="majorHAnsi" w:hAnsiTheme="majorHAnsi"/>
              </w:rPr>
            </w:pPr>
          </w:p>
          <w:p w14:paraId="3478B2A6" w14:textId="77777777" w:rsidR="00994E47" w:rsidRDefault="00994E47" w:rsidP="00154152">
            <w:pPr>
              <w:jc w:val="center"/>
              <w:rPr>
                <w:rFonts w:asciiTheme="majorHAnsi" w:hAnsiTheme="majorHAnsi"/>
              </w:rPr>
            </w:pPr>
          </w:p>
          <w:p w14:paraId="156A6A24" w14:textId="77777777" w:rsidR="00154152" w:rsidRDefault="00154152" w:rsidP="00154152">
            <w:pPr>
              <w:jc w:val="center"/>
              <w:rPr>
                <w:rFonts w:asciiTheme="majorHAnsi" w:hAnsiTheme="majorHAnsi"/>
              </w:rPr>
            </w:pPr>
          </w:p>
          <w:p w14:paraId="2E76A6C5" w14:textId="77777777" w:rsidR="00BF4F28" w:rsidRDefault="0079786C" w:rsidP="001541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18E8962E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  <w:p w14:paraId="2DD6288C" w14:textId="77777777" w:rsidR="0001754B" w:rsidRDefault="0001754B" w:rsidP="00453224">
            <w:pPr>
              <w:rPr>
                <w:rFonts w:asciiTheme="majorHAnsi" w:hAnsiTheme="majorHAnsi"/>
              </w:rPr>
            </w:pPr>
          </w:p>
        </w:tc>
        <w:tc>
          <w:tcPr>
            <w:tcW w:w="678" w:type="pct"/>
          </w:tcPr>
          <w:p w14:paraId="0BDE416E" w14:textId="77777777" w:rsidR="00150403" w:rsidRDefault="00150403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Students, identified through assessment as requiring additional support, access a range of small group targeted support.</w:t>
            </w:r>
          </w:p>
          <w:p w14:paraId="6880BFC6" w14:textId="77777777" w:rsidR="00150403" w:rsidRDefault="00150403" w:rsidP="00453224">
            <w:pPr>
              <w:rPr>
                <w:rFonts w:asciiTheme="majorHAnsi" w:hAnsiTheme="majorHAnsi"/>
              </w:rPr>
            </w:pPr>
          </w:p>
          <w:p w14:paraId="2E49EC38" w14:textId="77777777" w:rsidR="00150403" w:rsidRDefault="00150403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per EEF ‘Evidence consistently shows the positive impact that targeted academic support can have’</w:t>
            </w:r>
          </w:p>
          <w:p w14:paraId="64F7D94A" w14:textId="77777777" w:rsidR="008A07DB" w:rsidRDefault="008A07DB" w:rsidP="00453224">
            <w:pPr>
              <w:rPr>
                <w:rFonts w:asciiTheme="majorHAnsi" w:hAnsiTheme="majorHAnsi"/>
              </w:rPr>
            </w:pPr>
          </w:p>
          <w:p w14:paraId="1357C786" w14:textId="77777777" w:rsidR="008A07DB" w:rsidRDefault="008A07DB" w:rsidP="00453224">
            <w:pPr>
              <w:rPr>
                <w:rFonts w:asciiTheme="majorHAnsi" w:hAnsiTheme="majorHAnsi"/>
              </w:rPr>
            </w:pPr>
          </w:p>
          <w:p w14:paraId="298E18C7" w14:textId="77777777" w:rsidR="008A07DB" w:rsidRDefault="008A07DB" w:rsidP="00453224">
            <w:pPr>
              <w:rPr>
                <w:rFonts w:asciiTheme="majorHAnsi" w:hAnsiTheme="majorHAnsi"/>
              </w:rPr>
            </w:pPr>
          </w:p>
          <w:p w14:paraId="4B594D81" w14:textId="77777777" w:rsidR="008A07DB" w:rsidRDefault="008A07DB" w:rsidP="00453224">
            <w:pPr>
              <w:rPr>
                <w:rFonts w:asciiTheme="majorHAnsi" w:hAnsiTheme="majorHAnsi"/>
              </w:rPr>
            </w:pPr>
          </w:p>
          <w:p w14:paraId="3BFF2515" w14:textId="77777777" w:rsidR="008A07DB" w:rsidRDefault="008A07DB" w:rsidP="00453224">
            <w:pPr>
              <w:rPr>
                <w:rFonts w:asciiTheme="majorHAnsi" w:hAnsiTheme="majorHAnsi"/>
              </w:rPr>
            </w:pPr>
          </w:p>
          <w:p w14:paraId="463E5A97" w14:textId="77777777" w:rsidR="008A07DB" w:rsidRDefault="008A07DB" w:rsidP="00453224">
            <w:pPr>
              <w:rPr>
                <w:rFonts w:asciiTheme="majorHAnsi" w:hAnsiTheme="majorHAnsi"/>
              </w:rPr>
            </w:pPr>
          </w:p>
          <w:p w14:paraId="61262307" w14:textId="77777777" w:rsidR="008A07DB" w:rsidRDefault="008A07DB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Raise literacy levels to mitigate, as per the EEF ‘the </w:t>
            </w:r>
            <w:proofErr w:type="gramStart"/>
            <w:r>
              <w:rPr>
                <w:rFonts w:asciiTheme="majorHAnsi" w:hAnsiTheme="majorHAnsi"/>
              </w:rPr>
              <w:t>long term</w:t>
            </w:r>
            <w:proofErr w:type="gramEnd"/>
            <w:r>
              <w:rPr>
                <w:rFonts w:asciiTheme="majorHAnsi" w:hAnsiTheme="majorHAnsi"/>
              </w:rPr>
              <w:t xml:space="preserve"> negative impact of starting secondary school without secure literacy skills’.</w:t>
            </w:r>
          </w:p>
          <w:p w14:paraId="0F1AAB06" w14:textId="77777777" w:rsidR="00150403" w:rsidRPr="004318AE" w:rsidRDefault="008A07DB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36" w:type="pct"/>
          </w:tcPr>
          <w:p w14:paraId="0D1FB2BD" w14:textId="77777777" w:rsidR="00150403" w:rsidRDefault="00150403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Timetabled ‘catch up provision’ lessons for all year groups established with academic and extra-curricular activities offered.</w:t>
            </w:r>
          </w:p>
          <w:p w14:paraId="1418C0EC" w14:textId="77777777" w:rsidR="00150403" w:rsidRDefault="00150403" w:rsidP="00453224">
            <w:pPr>
              <w:rPr>
                <w:rFonts w:asciiTheme="majorHAnsi" w:hAnsiTheme="majorHAnsi"/>
              </w:rPr>
            </w:pPr>
          </w:p>
          <w:p w14:paraId="14ADE36C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6DFA56DC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37E331B4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21F6A2EE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0DD54474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49AFCE43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7888BC0D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30A32527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7DD50854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70AD8370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4B984284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2B3CB246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528FE59F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7568D575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51D1DB65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7ADA8F20" w14:textId="77777777" w:rsidR="001917FA" w:rsidRDefault="001917FA" w:rsidP="00453224">
            <w:pPr>
              <w:rPr>
                <w:rFonts w:asciiTheme="majorHAnsi" w:hAnsiTheme="majorHAnsi"/>
              </w:rPr>
            </w:pPr>
          </w:p>
          <w:p w14:paraId="2DB1ABDF" w14:textId="5B30FCC8" w:rsidR="00150403" w:rsidRDefault="00150403" w:rsidP="00453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Saturday school provided for those students identified as requiring targeted intervention. Open to years 10 and 11 and our EAL/SEND students in lower years. Students assessed pre and post each session to assess progress.</w:t>
            </w:r>
          </w:p>
          <w:p w14:paraId="78E0FEBA" w14:textId="0D07F45E" w:rsidR="00150403" w:rsidRPr="004318AE" w:rsidRDefault="009A2D3B" w:rsidP="009A2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Remote on-line tutoring offered to targeted students in years 7-10 to support ‘closing the gap’ in their learning. </w:t>
            </w:r>
          </w:p>
        </w:tc>
        <w:tc>
          <w:tcPr>
            <w:tcW w:w="998" w:type="pct"/>
          </w:tcPr>
          <w:p w14:paraId="14D33C65" w14:textId="77777777" w:rsidR="00150403" w:rsidRPr="009A2D3B" w:rsidRDefault="00150403" w:rsidP="00453224">
            <w:pPr>
              <w:rPr>
                <w:rFonts w:asciiTheme="majorHAnsi" w:hAnsiTheme="majorHAnsi"/>
                <w:bCs/>
              </w:rPr>
            </w:pPr>
          </w:p>
          <w:p w14:paraId="2722BCE8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2DF7EF0D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12395368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36C416E8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3989B401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00C72572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1CEDC20F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24AB0F2F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29B7C849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2184128C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3711C24F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356D35E8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2B4CB2F4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39C4BA28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19EE65A8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4DD885CC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1F4CD07D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194016F7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6ED71624" w14:textId="77777777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</w:p>
          <w:p w14:paraId="6A992638" w14:textId="35A80020" w:rsidR="009A2D3B" w:rsidRPr="009A2D3B" w:rsidRDefault="009A2D3B" w:rsidP="00453224">
            <w:pPr>
              <w:rPr>
                <w:rFonts w:asciiTheme="majorHAnsi" w:hAnsiTheme="majorHAnsi"/>
                <w:bCs/>
              </w:rPr>
            </w:pPr>
            <w:r w:rsidRPr="009A2D3B">
              <w:rPr>
                <w:rFonts w:asciiTheme="majorHAnsi" w:hAnsiTheme="majorHAnsi"/>
                <w:bCs/>
              </w:rPr>
              <w:lastRenderedPageBreak/>
              <w:t>Pre and post session assessments marked to assess impact</w:t>
            </w:r>
          </w:p>
        </w:tc>
      </w:tr>
      <w:tr w:rsidR="00FD32D5" w:rsidRPr="009679AE" w14:paraId="3F3A794F" w14:textId="77777777" w:rsidTr="00453224">
        <w:trPr>
          <w:trHeight w:val="229"/>
        </w:trPr>
        <w:tc>
          <w:tcPr>
            <w:tcW w:w="1144" w:type="pct"/>
          </w:tcPr>
          <w:p w14:paraId="3B59BE8D" w14:textId="77777777" w:rsidR="00FD32D5" w:rsidRDefault="00FD32D5" w:rsidP="00FD32D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Academic Tutoring</w:t>
            </w:r>
          </w:p>
          <w:p w14:paraId="7CEFF392" w14:textId="77777777" w:rsidR="00A72DE4" w:rsidRDefault="00FD32D5" w:rsidP="00FD3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the expertise of external companies to provide small group tutoring </w:t>
            </w:r>
          </w:p>
          <w:p w14:paraId="1C602BC4" w14:textId="77777777" w:rsidR="00FD32D5" w:rsidRDefault="00FD32D5" w:rsidP="00A72DE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72DE4">
              <w:rPr>
                <w:rFonts w:asciiTheme="majorHAnsi" w:hAnsiTheme="majorHAnsi"/>
              </w:rPr>
              <w:t>Tutor Trust</w:t>
            </w:r>
          </w:p>
          <w:p w14:paraId="307BBE45" w14:textId="77777777" w:rsidR="00A72DE4" w:rsidRPr="00A72DE4" w:rsidRDefault="00A72DE4" w:rsidP="00A72DE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Brilliant Club</w:t>
            </w:r>
          </w:p>
          <w:p w14:paraId="163F1C29" w14:textId="77777777" w:rsidR="00FD32D5" w:rsidRDefault="00FD32D5" w:rsidP="00FD32D5">
            <w:pPr>
              <w:rPr>
                <w:rFonts w:asciiTheme="majorHAnsi" w:hAnsiTheme="majorHAnsi"/>
                <w:b/>
                <w:bCs/>
              </w:rPr>
            </w:pPr>
          </w:p>
          <w:p w14:paraId="0E280220" w14:textId="77777777" w:rsidR="00FD32D5" w:rsidRPr="00CD2652" w:rsidRDefault="00FD32D5" w:rsidP="005554C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4" w:type="pct"/>
          </w:tcPr>
          <w:p w14:paraId="2FE64611" w14:textId="77777777" w:rsidR="004433F2" w:rsidRDefault="004433F2" w:rsidP="004433F2">
            <w:pPr>
              <w:rPr>
                <w:rFonts w:asciiTheme="majorHAnsi" w:hAnsiTheme="majorHAnsi"/>
              </w:rPr>
            </w:pPr>
          </w:p>
          <w:p w14:paraId="301AB5BF" w14:textId="77777777" w:rsidR="00FD32D5" w:rsidRDefault="004433F2" w:rsidP="004433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78" w:type="pct"/>
          </w:tcPr>
          <w:p w14:paraId="0BBB2360" w14:textId="77777777" w:rsidR="00FD32D5" w:rsidRDefault="00FD32D5" w:rsidP="00FD3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Students, identified through assessment as requiring additional support, access a range of small group targeted support.</w:t>
            </w:r>
          </w:p>
          <w:p w14:paraId="2548DC30" w14:textId="77777777" w:rsidR="00FD32D5" w:rsidRDefault="00FD32D5" w:rsidP="00FD32D5">
            <w:pPr>
              <w:rPr>
                <w:rFonts w:asciiTheme="majorHAnsi" w:hAnsiTheme="majorHAnsi"/>
              </w:rPr>
            </w:pPr>
          </w:p>
          <w:p w14:paraId="7733EDC2" w14:textId="77777777" w:rsidR="00FD32D5" w:rsidRDefault="00FD32D5" w:rsidP="00FD32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As per EEF ‘Evidence consistently shows the positive impact that targeted academic support can have’</w:t>
            </w:r>
          </w:p>
          <w:p w14:paraId="1E3520E4" w14:textId="77777777" w:rsidR="00FD32D5" w:rsidRDefault="00FD32D5" w:rsidP="00FD32D5">
            <w:pPr>
              <w:rPr>
                <w:rFonts w:asciiTheme="majorHAnsi" w:hAnsiTheme="majorHAnsi"/>
              </w:rPr>
            </w:pPr>
          </w:p>
        </w:tc>
        <w:tc>
          <w:tcPr>
            <w:tcW w:w="1636" w:type="pct"/>
          </w:tcPr>
          <w:p w14:paraId="773B9694" w14:textId="77777777" w:rsidR="00BC37EA" w:rsidRPr="009A2D3B" w:rsidRDefault="00BC37EA" w:rsidP="00BC37EA">
            <w:pPr>
              <w:rPr>
                <w:rFonts w:asciiTheme="majorHAnsi" w:hAnsiTheme="majorHAnsi"/>
              </w:rPr>
            </w:pPr>
            <w:r w:rsidRPr="009A2D3B">
              <w:rPr>
                <w:rFonts w:asciiTheme="majorHAnsi" w:hAnsiTheme="majorHAnsi"/>
              </w:rPr>
              <w:lastRenderedPageBreak/>
              <w:t>Timetabled ‘catch up provision’ lessons for all groups established outside of school hours.</w:t>
            </w:r>
          </w:p>
          <w:p w14:paraId="440C9E1B" w14:textId="77777777" w:rsidR="00346C81" w:rsidRPr="009A2D3B" w:rsidRDefault="00346C81" w:rsidP="00BC37EA">
            <w:pPr>
              <w:rPr>
                <w:rFonts w:asciiTheme="majorHAnsi" w:hAnsiTheme="majorHAnsi"/>
              </w:rPr>
            </w:pPr>
            <w:r w:rsidRPr="009A2D3B">
              <w:rPr>
                <w:rFonts w:asciiTheme="majorHAnsi" w:hAnsiTheme="majorHAnsi"/>
              </w:rPr>
              <w:t>All external parties guided by teacher input.</w:t>
            </w:r>
          </w:p>
          <w:p w14:paraId="331A52D8" w14:textId="77777777" w:rsidR="00BC37EA" w:rsidRPr="009A2D3B" w:rsidRDefault="00BC37EA" w:rsidP="00BC37EA">
            <w:pPr>
              <w:rPr>
                <w:rFonts w:asciiTheme="majorHAnsi" w:hAnsiTheme="majorHAnsi"/>
              </w:rPr>
            </w:pPr>
          </w:p>
          <w:p w14:paraId="13E8E490" w14:textId="77777777" w:rsidR="00FD32D5" w:rsidRPr="009A2D3B" w:rsidRDefault="0068712E" w:rsidP="0068712E">
            <w:pPr>
              <w:rPr>
                <w:rFonts w:asciiTheme="majorHAnsi" w:hAnsiTheme="majorHAnsi"/>
              </w:rPr>
            </w:pPr>
            <w:r w:rsidRPr="009A2D3B">
              <w:rPr>
                <w:rFonts w:asciiTheme="majorHAnsi" w:hAnsiTheme="majorHAnsi"/>
              </w:rPr>
              <w:t>Coordinator will monitor progress through the tracking of academic assessment data.</w:t>
            </w:r>
          </w:p>
        </w:tc>
        <w:tc>
          <w:tcPr>
            <w:tcW w:w="998" w:type="pct"/>
          </w:tcPr>
          <w:p w14:paraId="689535B6" w14:textId="0EFBC213" w:rsidR="00FD32D5" w:rsidRPr="009A2D3B" w:rsidRDefault="009A2D3B" w:rsidP="00FD32D5">
            <w:pPr>
              <w:rPr>
                <w:rFonts w:asciiTheme="majorHAnsi" w:hAnsiTheme="majorHAnsi"/>
              </w:rPr>
            </w:pPr>
            <w:r w:rsidRPr="009A2D3B">
              <w:rPr>
                <w:rFonts w:asciiTheme="majorHAnsi" w:hAnsiTheme="majorHAnsi"/>
              </w:rPr>
              <w:t>Impact report available after 15week block</w:t>
            </w:r>
            <w:r>
              <w:rPr>
                <w:rFonts w:asciiTheme="majorHAnsi" w:hAnsiTheme="majorHAnsi"/>
              </w:rPr>
              <w:t xml:space="preserve"> completed.</w:t>
            </w:r>
          </w:p>
        </w:tc>
      </w:tr>
      <w:tr w:rsidR="001C22D0" w:rsidRPr="004318AE" w14:paraId="2C82BAD1" w14:textId="77777777" w:rsidTr="00A2486A">
        <w:trPr>
          <w:trHeight w:val="229"/>
        </w:trPr>
        <w:tc>
          <w:tcPr>
            <w:tcW w:w="1144" w:type="pct"/>
          </w:tcPr>
          <w:p w14:paraId="414C9EA5" w14:textId="77777777" w:rsidR="00994E47" w:rsidRDefault="001C22D0" w:rsidP="001C22D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Additional Peri music service</w:t>
            </w:r>
          </w:p>
          <w:p w14:paraId="336EFCB4" w14:textId="77777777" w:rsidR="001C22D0" w:rsidRPr="00994E47" w:rsidRDefault="00994E47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Raise the number of </w:t>
            </w:r>
            <w:r w:rsidRPr="00994E47">
              <w:rPr>
                <w:rFonts w:asciiTheme="majorHAnsi" w:hAnsiTheme="majorHAnsi"/>
              </w:rPr>
              <w:t>per</w:t>
            </w:r>
            <w:r>
              <w:rPr>
                <w:rFonts w:asciiTheme="majorHAnsi" w:hAnsiTheme="majorHAnsi"/>
              </w:rPr>
              <w:t>i</w:t>
            </w:r>
            <w:r w:rsidRPr="00994E47">
              <w:rPr>
                <w:rFonts w:asciiTheme="majorHAnsi" w:hAnsiTheme="majorHAnsi"/>
              </w:rPr>
              <w:t xml:space="preserve"> hours</w:t>
            </w:r>
            <w:r>
              <w:rPr>
                <w:rFonts w:asciiTheme="majorHAnsi" w:hAnsiTheme="majorHAnsi"/>
              </w:rPr>
              <w:t xml:space="preserve"> so our </w:t>
            </w:r>
            <w:r w:rsidR="002554E1">
              <w:rPr>
                <w:rFonts w:asciiTheme="majorHAnsi" w:hAnsiTheme="majorHAnsi"/>
              </w:rPr>
              <w:t xml:space="preserve">year 7 </w:t>
            </w:r>
            <w:r>
              <w:rPr>
                <w:rFonts w:asciiTheme="majorHAnsi" w:hAnsiTheme="majorHAnsi"/>
              </w:rPr>
              <w:t xml:space="preserve">students can access specialist </w:t>
            </w:r>
            <w:r w:rsidR="002554E1">
              <w:rPr>
                <w:rFonts w:asciiTheme="majorHAnsi" w:hAnsiTheme="majorHAnsi"/>
              </w:rPr>
              <w:t xml:space="preserve">music </w:t>
            </w:r>
            <w:r>
              <w:rPr>
                <w:rFonts w:asciiTheme="majorHAnsi" w:hAnsiTheme="majorHAnsi"/>
              </w:rPr>
              <w:t>tuition.</w:t>
            </w:r>
          </w:p>
        </w:tc>
        <w:tc>
          <w:tcPr>
            <w:tcW w:w="544" w:type="pct"/>
          </w:tcPr>
          <w:p w14:paraId="43E15A49" w14:textId="77777777" w:rsidR="00056052" w:rsidRDefault="00056052" w:rsidP="001C22D0">
            <w:pPr>
              <w:jc w:val="center"/>
              <w:rPr>
                <w:rFonts w:asciiTheme="majorHAnsi" w:hAnsiTheme="majorHAnsi"/>
              </w:rPr>
            </w:pPr>
          </w:p>
          <w:p w14:paraId="375174A4" w14:textId="77777777" w:rsidR="001C22D0" w:rsidRDefault="001C22D0" w:rsidP="001C22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</w:tcPr>
          <w:p w14:paraId="4AF4946A" w14:textId="77777777" w:rsidR="001C22D0" w:rsidRDefault="001C22D0" w:rsidP="00B666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per EEF ‘</w:t>
            </w:r>
            <w:r w:rsidR="00B666F6">
              <w:rPr>
                <w:rFonts w:asciiTheme="majorHAnsi" w:hAnsiTheme="majorHAnsi"/>
              </w:rPr>
              <w:t>Pupil’s access to technology has been an important factor in how they can learn from home’. By providing musical instruments in school we wish to promote the love of ‘music’.</w:t>
            </w:r>
          </w:p>
        </w:tc>
        <w:tc>
          <w:tcPr>
            <w:tcW w:w="1636" w:type="pct"/>
          </w:tcPr>
          <w:p w14:paraId="23EE825F" w14:textId="77777777" w:rsidR="001C22D0" w:rsidRDefault="002554E1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QA attendance at the samba band</w:t>
            </w:r>
            <w:r w:rsidR="001917FA">
              <w:rPr>
                <w:rFonts w:asciiTheme="majorHAnsi" w:hAnsiTheme="majorHAnsi"/>
              </w:rPr>
              <w:t xml:space="preserve"> practice sessions</w:t>
            </w:r>
            <w:r>
              <w:rPr>
                <w:rFonts w:asciiTheme="majorHAnsi" w:hAnsiTheme="majorHAnsi"/>
              </w:rPr>
              <w:t>.</w:t>
            </w:r>
          </w:p>
          <w:p w14:paraId="100C4484" w14:textId="77777777" w:rsidR="00346C81" w:rsidRDefault="002554E1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performances for evidence of progress.</w:t>
            </w:r>
          </w:p>
        </w:tc>
        <w:tc>
          <w:tcPr>
            <w:tcW w:w="998" w:type="pct"/>
          </w:tcPr>
          <w:p w14:paraId="41AD32CD" w14:textId="1F8F1565" w:rsidR="001C22D0" w:rsidRPr="004318AE" w:rsidRDefault="009A2D3B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 year 7 students signed up for Samba</w:t>
            </w:r>
          </w:p>
        </w:tc>
      </w:tr>
      <w:tr w:rsidR="001C22D0" w:rsidRPr="004318AE" w14:paraId="7D3ED28A" w14:textId="77777777" w:rsidTr="00A2486A">
        <w:trPr>
          <w:trHeight w:val="229"/>
        </w:trPr>
        <w:tc>
          <w:tcPr>
            <w:tcW w:w="1144" w:type="pct"/>
          </w:tcPr>
          <w:p w14:paraId="2E459D52" w14:textId="77777777" w:rsidR="001C22D0" w:rsidRDefault="001C22D0" w:rsidP="001C22D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EAL specialist</w:t>
            </w:r>
          </w:p>
          <w:p w14:paraId="3FB131E0" w14:textId="77777777" w:rsidR="001C22D0" w:rsidRDefault="001C22D0" w:rsidP="001C22D0">
            <w:pPr>
              <w:rPr>
                <w:rFonts w:asciiTheme="majorHAnsi" w:hAnsiTheme="majorHAnsi"/>
              </w:rPr>
            </w:pPr>
            <w:r w:rsidRPr="004433F2">
              <w:rPr>
                <w:rFonts w:asciiTheme="majorHAnsi" w:hAnsiTheme="majorHAnsi"/>
              </w:rPr>
              <w:t>Provision of an EAL</w:t>
            </w:r>
            <w:r>
              <w:rPr>
                <w:rFonts w:asciiTheme="majorHAnsi" w:hAnsiTheme="majorHAnsi"/>
              </w:rPr>
              <w:t xml:space="preserve"> </w:t>
            </w:r>
            <w:r w:rsidRPr="004433F2">
              <w:rPr>
                <w:rFonts w:asciiTheme="majorHAnsi" w:hAnsiTheme="majorHAnsi"/>
              </w:rPr>
              <w:t>specialist to support our EAL students</w:t>
            </w:r>
            <w:r>
              <w:rPr>
                <w:rFonts w:asciiTheme="majorHAnsi" w:hAnsiTheme="majorHAnsi"/>
              </w:rPr>
              <w:t xml:space="preserve"> to ‘close the gap’ in their learning when</w:t>
            </w:r>
          </w:p>
          <w:p w14:paraId="0BD3251C" w14:textId="77777777" w:rsidR="001C22D0" w:rsidRPr="001C22D0" w:rsidRDefault="001C22D0" w:rsidP="001C22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1C22D0">
              <w:rPr>
                <w:rFonts w:asciiTheme="majorHAnsi" w:hAnsiTheme="majorHAnsi"/>
              </w:rPr>
              <w:t>in the classroom</w:t>
            </w:r>
            <w:r>
              <w:rPr>
                <w:rFonts w:asciiTheme="majorHAnsi" w:hAnsiTheme="majorHAnsi"/>
              </w:rPr>
              <w:t>;</w:t>
            </w:r>
            <w:r w:rsidRPr="001C22D0">
              <w:rPr>
                <w:rFonts w:asciiTheme="majorHAnsi" w:hAnsiTheme="majorHAnsi"/>
              </w:rPr>
              <w:t xml:space="preserve"> </w:t>
            </w:r>
          </w:p>
          <w:p w14:paraId="3E4368A1" w14:textId="77777777" w:rsidR="001C22D0" w:rsidRPr="001C22D0" w:rsidRDefault="001C22D0" w:rsidP="001C22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</w:t>
            </w:r>
            <w:r w:rsidRPr="001C22D0">
              <w:rPr>
                <w:rFonts w:asciiTheme="majorHAnsi" w:hAnsiTheme="majorHAnsi"/>
              </w:rPr>
              <w:t>e and post school</w:t>
            </w:r>
            <w:r>
              <w:rPr>
                <w:rFonts w:asciiTheme="majorHAnsi" w:hAnsiTheme="majorHAnsi"/>
              </w:rPr>
              <w:t>; and</w:t>
            </w:r>
          </w:p>
          <w:p w14:paraId="3B11D0F0" w14:textId="77777777" w:rsidR="001C22D0" w:rsidRPr="001C22D0" w:rsidRDefault="001C22D0" w:rsidP="001C22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S</w:t>
            </w:r>
            <w:r w:rsidRPr="001C22D0">
              <w:rPr>
                <w:rFonts w:asciiTheme="majorHAnsi" w:hAnsiTheme="majorHAnsi"/>
              </w:rPr>
              <w:t>aturday school</w:t>
            </w:r>
            <w:r>
              <w:rPr>
                <w:rFonts w:asciiTheme="majorHAnsi" w:hAnsiTheme="majorHAnsi"/>
              </w:rPr>
              <w:t>.</w:t>
            </w:r>
            <w:r w:rsidRPr="001C22D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4" w:type="pct"/>
          </w:tcPr>
          <w:p w14:paraId="358968F8" w14:textId="77777777" w:rsidR="00056052" w:rsidRDefault="00056052" w:rsidP="001C22D0">
            <w:pPr>
              <w:jc w:val="center"/>
              <w:rPr>
                <w:rFonts w:asciiTheme="majorHAnsi" w:hAnsiTheme="majorHAnsi"/>
              </w:rPr>
            </w:pPr>
          </w:p>
          <w:p w14:paraId="738CCD81" w14:textId="2B7336CB" w:rsidR="001C22D0" w:rsidRDefault="009A2D3B" w:rsidP="001C22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C22D0">
              <w:rPr>
                <w:rFonts w:asciiTheme="majorHAnsi" w:hAnsiTheme="majorHAnsi"/>
              </w:rPr>
              <w:t>0</w:t>
            </w:r>
          </w:p>
        </w:tc>
        <w:tc>
          <w:tcPr>
            <w:tcW w:w="678" w:type="pct"/>
          </w:tcPr>
          <w:p w14:paraId="7BB4BEC7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per EEF ‘Evidence consistently shows the positive impact that targeted academic support can have’</w:t>
            </w:r>
          </w:p>
          <w:p w14:paraId="6007CE4E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</w:tc>
        <w:tc>
          <w:tcPr>
            <w:tcW w:w="1636" w:type="pct"/>
          </w:tcPr>
          <w:p w14:paraId="26826379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small group intervention sessions to support our INA and EAL students</w:t>
            </w:r>
            <w:r w:rsidR="00182CC4">
              <w:rPr>
                <w:rFonts w:asciiTheme="majorHAnsi" w:hAnsiTheme="majorHAnsi"/>
              </w:rPr>
              <w:t>.</w:t>
            </w:r>
          </w:p>
          <w:p w14:paraId="732EEA54" w14:textId="77777777" w:rsidR="00994E47" w:rsidRDefault="00994E47" w:rsidP="001C22D0">
            <w:pPr>
              <w:ind w:right="937"/>
              <w:rPr>
                <w:rFonts w:asciiTheme="majorHAnsi" w:hAnsiTheme="majorHAnsi"/>
              </w:rPr>
            </w:pPr>
          </w:p>
          <w:p w14:paraId="69E07C65" w14:textId="77777777" w:rsidR="00994E47" w:rsidRDefault="00994E47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Coordinator will monitor progress through the tracking of academic assessment data.</w:t>
            </w:r>
          </w:p>
        </w:tc>
        <w:tc>
          <w:tcPr>
            <w:tcW w:w="998" w:type="pct"/>
          </w:tcPr>
          <w:p w14:paraId="64110D79" w14:textId="77777777" w:rsidR="001C22D0" w:rsidRPr="004318AE" w:rsidRDefault="001C22D0" w:rsidP="001C22D0">
            <w:pPr>
              <w:rPr>
                <w:rFonts w:asciiTheme="majorHAnsi" w:hAnsiTheme="majorHAnsi"/>
              </w:rPr>
            </w:pPr>
          </w:p>
        </w:tc>
      </w:tr>
      <w:tr w:rsidR="001C22D0" w:rsidRPr="004318AE" w14:paraId="51E42947" w14:textId="77777777" w:rsidTr="00A2486A">
        <w:trPr>
          <w:trHeight w:val="229"/>
        </w:trPr>
        <w:tc>
          <w:tcPr>
            <w:tcW w:w="1144" w:type="pct"/>
          </w:tcPr>
          <w:p w14:paraId="6E1FF470" w14:textId="77777777" w:rsidR="001C22D0" w:rsidRDefault="001C22D0" w:rsidP="001C22D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Literacy</w:t>
            </w:r>
          </w:p>
          <w:p w14:paraId="5AF153B6" w14:textId="77777777" w:rsidR="001917FA" w:rsidRPr="001917FA" w:rsidRDefault="001917FA" w:rsidP="001C22D0">
            <w:pPr>
              <w:rPr>
                <w:rFonts w:asciiTheme="majorHAnsi" w:hAnsiTheme="majorHAnsi"/>
              </w:rPr>
            </w:pPr>
            <w:r w:rsidRPr="001917FA">
              <w:rPr>
                <w:rFonts w:asciiTheme="majorHAnsi" w:hAnsiTheme="majorHAnsi"/>
              </w:rPr>
              <w:t>Improve literacy levels by the:</w:t>
            </w:r>
          </w:p>
          <w:p w14:paraId="77256406" w14:textId="77777777" w:rsidR="001C22D0" w:rsidRPr="00BC37EA" w:rsidRDefault="001917FA" w:rsidP="00BC37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1C22D0" w:rsidRPr="00BC37EA">
              <w:rPr>
                <w:rFonts w:asciiTheme="majorHAnsi" w:hAnsiTheme="majorHAnsi"/>
              </w:rPr>
              <w:t xml:space="preserve">rovision of a Lexia package to support our literacy </w:t>
            </w:r>
            <w:proofErr w:type="spellStart"/>
            <w:r w:rsidR="001C22D0" w:rsidRPr="00BC37EA">
              <w:rPr>
                <w:rFonts w:asciiTheme="majorHAnsi" w:hAnsiTheme="majorHAnsi"/>
              </w:rPr>
              <w:t>programme</w:t>
            </w:r>
            <w:proofErr w:type="spellEnd"/>
            <w:r>
              <w:rPr>
                <w:rFonts w:asciiTheme="majorHAnsi" w:hAnsiTheme="majorHAnsi"/>
              </w:rPr>
              <w:t>; and</w:t>
            </w:r>
          </w:p>
          <w:p w14:paraId="707B447F" w14:textId="77777777" w:rsidR="001C22D0" w:rsidRPr="0079786C" w:rsidRDefault="001917FA" w:rsidP="00BC37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p</w:t>
            </w:r>
            <w:r w:rsidR="001C22D0" w:rsidRPr="00BC37EA">
              <w:rPr>
                <w:rFonts w:asciiTheme="majorHAnsi" w:hAnsiTheme="majorHAnsi"/>
              </w:rPr>
              <w:t>urchase of books to ensure every child can access reading - age specific material</w:t>
            </w:r>
            <w:r>
              <w:rPr>
                <w:rFonts w:asciiTheme="majorHAnsi" w:hAnsiTheme="majorHAnsi"/>
              </w:rPr>
              <w:t>.</w:t>
            </w:r>
          </w:p>
          <w:p w14:paraId="43FFA1F7" w14:textId="41EA615B" w:rsidR="0079786C" w:rsidRPr="0079786C" w:rsidRDefault="0079786C" w:rsidP="00BC37E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79786C">
              <w:rPr>
                <w:rFonts w:asciiTheme="majorHAnsi" w:hAnsiTheme="majorHAnsi"/>
              </w:rPr>
              <w:t>Purchase</w:t>
            </w:r>
            <w:r w:rsidR="009A2D3B">
              <w:rPr>
                <w:rFonts w:asciiTheme="majorHAnsi" w:hAnsiTheme="majorHAnsi"/>
              </w:rPr>
              <w:t>d 20</w:t>
            </w:r>
            <w:r w:rsidRPr="0079786C">
              <w:rPr>
                <w:rFonts w:asciiTheme="majorHAnsi" w:hAnsiTheme="majorHAnsi"/>
              </w:rPr>
              <w:t xml:space="preserve"> </w:t>
            </w:r>
            <w:proofErr w:type="spellStart"/>
            <w:r w:rsidRPr="0079786C">
              <w:rPr>
                <w:rFonts w:asciiTheme="majorHAnsi" w:hAnsiTheme="majorHAnsi"/>
              </w:rPr>
              <w:t>ipads</w:t>
            </w:r>
            <w:proofErr w:type="spellEnd"/>
            <w:r w:rsidR="009A2D3B">
              <w:rPr>
                <w:rFonts w:asciiTheme="majorHAnsi" w:hAnsiTheme="majorHAnsi"/>
              </w:rPr>
              <w:t xml:space="preserve"> to support Lexia roll-out</w:t>
            </w:r>
          </w:p>
        </w:tc>
        <w:tc>
          <w:tcPr>
            <w:tcW w:w="544" w:type="pct"/>
          </w:tcPr>
          <w:p w14:paraId="40F554E0" w14:textId="77777777" w:rsidR="00056052" w:rsidRDefault="00056052" w:rsidP="00B67E9B">
            <w:pPr>
              <w:jc w:val="center"/>
              <w:rPr>
                <w:rFonts w:asciiTheme="majorHAnsi" w:hAnsiTheme="majorHAnsi"/>
              </w:rPr>
            </w:pPr>
          </w:p>
          <w:p w14:paraId="1EC5EE8B" w14:textId="77777777" w:rsidR="001C22D0" w:rsidRDefault="0079786C" w:rsidP="00B67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78" w:type="pct"/>
          </w:tcPr>
          <w:p w14:paraId="2A5D03D1" w14:textId="77777777" w:rsidR="001C22D0" w:rsidRDefault="008A07DB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Raise literacy levels to mitigate the extensive research that shows the ‘long – term negative impact of beginning secondary school without secure literacy skills’ (EEF).</w:t>
            </w:r>
          </w:p>
        </w:tc>
        <w:tc>
          <w:tcPr>
            <w:tcW w:w="1636" w:type="pct"/>
          </w:tcPr>
          <w:p w14:paraId="09DCC422" w14:textId="77777777" w:rsidR="001C22D0" w:rsidRDefault="00A36B76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</w:t>
            </w:r>
            <w:r w:rsidR="009A2D3B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annual assessment of reading ages will be used to assess the impact.</w:t>
            </w:r>
          </w:p>
          <w:p w14:paraId="4D68410A" w14:textId="696CB15A" w:rsidR="009A2D3B" w:rsidRDefault="009A2D3B" w:rsidP="001C22D0">
            <w:pPr>
              <w:ind w:right="937"/>
              <w:rPr>
                <w:rFonts w:asciiTheme="majorHAnsi" w:hAnsiTheme="majorHAnsi"/>
              </w:rPr>
            </w:pPr>
          </w:p>
        </w:tc>
        <w:tc>
          <w:tcPr>
            <w:tcW w:w="998" w:type="pct"/>
          </w:tcPr>
          <w:p w14:paraId="33940DDA" w14:textId="416204C0" w:rsidR="001C22D0" w:rsidRPr="004318AE" w:rsidRDefault="009A2D3B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53 key worker students advanced an average of one reading year in the </w:t>
            </w:r>
            <w:proofErr w:type="gramStart"/>
            <w:r>
              <w:rPr>
                <w:rFonts w:asciiTheme="majorHAnsi" w:hAnsiTheme="majorHAnsi"/>
              </w:rPr>
              <w:t>3 month</w:t>
            </w:r>
            <w:proofErr w:type="gramEnd"/>
            <w:r>
              <w:rPr>
                <w:rFonts w:asciiTheme="majorHAnsi" w:hAnsiTheme="majorHAnsi"/>
              </w:rPr>
              <w:t xml:space="preserve"> period Jan-March 2021</w:t>
            </w:r>
          </w:p>
        </w:tc>
      </w:tr>
      <w:tr w:rsidR="001C22D0" w:rsidRPr="004318AE" w14:paraId="75164D7B" w14:textId="77777777" w:rsidTr="00A2486A">
        <w:trPr>
          <w:trHeight w:val="229"/>
        </w:trPr>
        <w:tc>
          <w:tcPr>
            <w:tcW w:w="1144" w:type="pct"/>
          </w:tcPr>
          <w:p w14:paraId="391074C4" w14:textId="77777777" w:rsidR="001C22D0" w:rsidRPr="00CD2652" w:rsidRDefault="001C22D0" w:rsidP="001C22D0">
            <w:pPr>
              <w:rPr>
                <w:rFonts w:asciiTheme="majorHAnsi" w:hAnsiTheme="majorHAnsi"/>
                <w:b/>
                <w:bCs/>
              </w:rPr>
            </w:pPr>
            <w:r w:rsidRPr="00CD2652">
              <w:rPr>
                <w:rFonts w:asciiTheme="majorHAnsi" w:hAnsiTheme="majorHAnsi"/>
                <w:b/>
                <w:bCs/>
              </w:rPr>
              <w:t>Assessment</w:t>
            </w:r>
          </w:p>
          <w:p w14:paraId="475C533A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Students are assessed at critical points to ensure we identify ‘gaps in their knowledge’ and effectively ‘close the gaps’ in their learning.</w:t>
            </w:r>
          </w:p>
        </w:tc>
        <w:tc>
          <w:tcPr>
            <w:tcW w:w="544" w:type="pct"/>
          </w:tcPr>
          <w:p w14:paraId="3BF1B19C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423789D5" w14:textId="77777777" w:rsidR="001C22D0" w:rsidRDefault="001C22D0" w:rsidP="00994E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67AF9A40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56BD7C57" w14:textId="77777777" w:rsidR="001C22D0" w:rsidRPr="004318AE" w:rsidRDefault="001C22D0" w:rsidP="00994E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Repro /</w:t>
            </w:r>
            <w:proofErr w:type="gramStart"/>
            <w:r>
              <w:rPr>
                <w:rFonts w:asciiTheme="majorHAnsi" w:hAnsiTheme="majorHAnsi"/>
              </w:rPr>
              <w:t>QA  time</w:t>
            </w:r>
            <w:proofErr w:type="gramEnd"/>
          </w:p>
        </w:tc>
        <w:tc>
          <w:tcPr>
            <w:tcW w:w="678" w:type="pct"/>
          </w:tcPr>
          <w:p w14:paraId="3E57EF72" w14:textId="77777777" w:rsidR="001C22D0" w:rsidRPr="004318AE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Rigorous assessment </w:t>
            </w:r>
            <w:r>
              <w:rPr>
                <w:rFonts w:asciiTheme="majorHAnsi" w:hAnsiTheme="majorHAnsi"/>
              </w:rPr>
              <w:lastRenderedPageBreak/>
              <w:t>programme is in place, as per EEF ‘High – quality assessment is essential to great teaching, helping us understand what pupils have (or have not learned)’.</w:t>
            </w:r>
          </w:p>
        </w:tc>
        <w:tc>
          <w:tcPr>
            <w:tcW w:w="1636" w:type="pct"/>
          </w:tcPr>
          <w:p w14:paraId="4E89BA16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Every faculty has a whole school tracker.</w:t>
            </w:r>
          </w:p>
          <w:p w14:paraId="14B4B762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</w:p>
          <w:p w14:paraId="73EBF8D3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System of assessment in place (cumulative).</w:t>
            </w:r>
          </w:p>
          <w:p w14:paraId="3EB5A8C5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</w:p>
          <w:p w14:paraId="5A18599E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QLA logged per half term assessment.</w:t>
            </w:r>
          </w:p>
          <w:p w14:paraId="7332EA3F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</w:p>
          <w:p w14:paraId="035169A7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 in cycle addresses the issue of ‘closing the gaps’ in learning identified from the assessment cycle.</w:t>
            </w:r>
          </w:p>
          <w:p w14:paraId="654EDB65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</w:p>
          <w:p w14:paraId="1D43A696" w14:textId="77777777" w:rsidR="001C22D0" w:rsidRDefault="001C22D0" w:rsidP="001C22D0">
            <w:pPr>
              <w:ind w:right="9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Catch up provision established with a clear assessment plan in place. Saturday School attendees are assessed, pre and post sessions, to measure progress.</w:t>
            </w:r>
          </w:p>
        </w:tc>
        <w:tc>
          <w:tcPr>
            <w:tcW w:w="998" w:type="pct"/>
          </w:tcPr>
          <w:p w14:paraId="475A7A65" w14:textId="77777777" w:rsidR="001C22D0" w:rsidRPr="004318AE" w:rsidRDefault="001C22D0" w:rsidP="001C22D0">
            <w:pPr>
              <w:rPr>
                <w:rFonts w:asciiTheme="majorHAnsi" w:hAnsiTheme="majorHAnsi"/>
              </w:rPr>
            </w:pPr>
          </w:p>
        </w:tc>
      </w:tr>
      <w:tr w:rsidR="001C22D0" w:rsidRPr="004318AE" w14:paraId="1DEA4B55" w14:textId="77777777" w:rsidTr="00A2486A">
        <w:trPr>
          <w:trHeight w:val="229"/>
        </w:trPr>
        <w:tc>
          <w:tcPr>
            <w:tcW w:w="1144" w:type="pct"/>
            <w:shd w:val="clear" w:color="auto" w:fill="BFBFBF" w:themeFill="background1" w:themeFillShade="BF"/>
          </w:tcPr>
          <w:p w14:paraId="73A74AE3" w14:textId="77777777" w:rsidR="001C22D0" w:rsidRPr="00106E3C" w:rsidRDefault="001C22D0" w:rsidP="001C22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Wider Strategies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14:paraId="73F0D32F" w14:textId="77777777" w:rsidR="001C22D0" w:rsidRPr="00106E3C" w:rsidRDefault="001C22D0" w:rsidP="001C22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78E2A17D" w14:textId="77777777" w:rsidR="001C22D0" w:rsidRPr="00106E3C" w:rsidRDefault="001C22D0" w:rsidP="001C22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36" w:type="pct"/>
            <w:shd w:val="clear" w:color="auto" w:fill="BFBFBF" w:themeFill="background1" w:themeFillShade="BF"/>
          </w:tcPr>
          <w:p w14:paraId="295A3C83" w14:textId="77777777" w:rsidR="001C22D0" w:rsidRPr="00106E3C" w:rsidRDefault="001C22D0" w:rsidP="001C22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8" w:type="pct"/>
            <w:shd w:val="clear" w:color="auto" w:fill="BFBFBF" w:themeFill="background1" w:themeFillShade="BF"/>
          </w:tcPr>
          <w:p w14:paraId="05D02A10" w14:textId="77777777" w:rsidR="001C22D0" w:rsidRPr="00106E3C" w:rsidRDefault="001C22D0" w:rsidP="001C22D0">
            <w:pPr>
              <w:rPr>
                <w:rFonts w:asciiTheme="majorHAnsi" w:hAnsiTheme="majorHAnsi"/>
                <w:b/>
              </w:rPr>
            </w:pPr>
          </w:p>
        </w:tc>
      </w:tr>
      <w:tr w:rsidR="001C22D0" w:rsidRPr="004318AE" w14:paraId="6CA1EFC4" w14:textId="77777777" w:rsidTr="00A2486A">
        <w:trPr>
          <w:trHeight w:val="229"/>
        </w:trPr>
        <w:tc>
          <w:tcPr>
            <w:tcW w:w="1144" w:type="pct"/>
          </w:tcPr>
          <w:p w14:paraId="4058B31A" w14:textId="77777777" w:rsidR="001C22D0" w:rsidRDefault="001C22D0" w:rsidP="001C22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pupils’ social, emotional and behavioural needs.</w:t>
            </w:r>
          </w:p>
          <w:p w14:paraId="25DBC144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the mental health and welfare of our students is maintained:</w:t>
            </w:r>
          </w:p>
          <w:p w14:paraId="7A9218DA" w14:textId="77777777" w:rsidR="001917FA" w:rsidRPr="001917FA" w:rsidRDefault="001917FA" w:rsidP="001C2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‘Aiding Minds’ survey completed for all our students with follow up from our qualified </w:t>
            </w:r>
            <w:proofErr w:type="spellStart"/>
            <w:r>
              <w:rPr>
                <w:rFonts w:asciiTheme="majorHAnsi" w:hAnsiTheme="majorHAnsi"/>
              </w:rPr>
              <w:t>CaMHs</w:t>
            </w:r>
            <w:proofErr w:type="spellEnd"/>
            <w:r>
              <w:rPr>
                <w:rFonts w:asciiTheme="majorHAnsi" w:hAnsiTheme="majorHAnsi"/>
              </w:rPr>
              <w:t xml:space="preserve"> officer; and</w:t>
            </w:r>
          </w:p>
          <w:p w14:paraId="51D06A84" w14:textId="77777777" w:rsidR="001C22D0" w:rsidRDefault="001C22D0" w:rsidP="001C22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extended form time and transition programme established to address SEL needs</w:t>
            </w:r>
            <w:r w:rsidR="001917FA">
              <w:rPr>
                <w:rFonts w:asciiTheme="majorHAnsi" w:hAnsiTheme="majorHAnsi"/>
              </w:rPr>
              <w:t>.</w:t>
            </w:r>
          </w:p>
          <w:p w14:paraId="43932597" w14:textId="77777777" w:rsidR="001C22D0" w:rsidRPr="00D14068" w:rsidRDefault="001C22D0" w:rsidP="001917FA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544" w:type="pct"/>
          </w:tcPr>
          <w:p w14:paraId="7F15F150" w14:textId="77777777" w:rsidR="00056052" w:rsidRDefault="0079786C" w:rsidP="00994E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</w:p>
          <w:p w14:paraId="07D773A4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6F7C0B81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04D24529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11B3DB96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3BFBCAFB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45A6CF95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2B765D26" w14:textId="77777777" w:rsidR="001C22D0" w:rsidRDefault="001C22D0" w:rsidP="00994E47">
            <w:pPr>
              <w:jc w:val="center"/>
              <w:rPr>
                <w:rFonts w:asciiTheme="majorHAnsi" w:hAnsiTheme="majorHAnsi"/>
              </w:rPr>
            </w:pPr>
          </w:p>
          <w:p w14:paraId="76E0425C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145EAF2C" w14:textId="77777777" w:rsidR="001C22D0" w:rsidRPr="004318AE" w:rsidRDefault="001C22D0" w:rsidP="00994E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8" w:type="pct"/>
          </w:tcPr>
          <w:p w14:paraId="0F72E642" w14:textId="77777777" w:rsidR="001C22D0" w:rsidRPr="004318AE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Student voice resonates the support received. As per the EEF ‘attention on supporting pupils’ social, emotional </w:t>
            </w:r>
            <w:r>
              <w:rPr>
                <w:rFonts w:asciiTheme="majorHAnsi" w:hAnsiTheme="majorHAnsi"/>
              </w:rPr>
              <w:lastRenderedPageBreak/>
              <w:t>and behavioural needs, is likely to prove an effective strategy’.</w:t>
            </w:r>
          </w:p>
        </w:tc>
        <w:tc>
          <w:tcPr>
            <w:tcW w:w="1636" w:type="pct"/>
          </w:tcPr>
          <w:p w14:paraId="45F81917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Students enjoy their education and feel ‘safe’.</w:t>
            </w:r>
          </w:p>
          <w:p w14:paraId="59E75A26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1B7A58FF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students spend an extended time in form, where the full reset of expectations and standards is shared. </w:t>
            </w:r>
          </w:p>
          <w:p w14:paraId="3FB4E569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19D1BE85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1E86B1D6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Conduct a whole school survey </w:t>
            </w:r>
            <w:r w:rsidR="00994E47">
              <w:rPr>
                <w:rFonts w:asciiTheme="majorHAnsi" w:hAnsiTheme="majorHAnsi"/>
              </w:rPr>
              <w:t xml:space="preserve">(Aiding minds) </w:t>
            </w:r>
            <w:r>
              <w:rPr>
                <w:rFonts w:asciiTheme="majorHAnsi" w:hAnsiTheme="majorHAnsi"/>
              </w:rPr>
              <w:t xml:space="preserve">to identify </w:t>
            </w:r>
            <w:r w:rsidR="00994E47">
              <w:rPr>
                <w:rFonts w:asciiTheme="majorHAnsi" w:hAnsiTheme="majorHAnsi"/>
              </w:rPr>
              <w:t xml:space="preserve">mental health </w:t>
            </w:r>
            <w:r>
              <w:rPr>
                <w:rFonts w:asciiTheme="majorHAnsi" w:hAnsiTheme="majorHAnsi"/>
              </w:rPr>
              <w:t>issues and assess the impact of the provisions put in place.</w:t>
            </w:r>
          </w:p>
          <w:p w14:paraId="30611717" w14:textId="77777777" w:rsidR="001917FA" w:rsidRDefault="001917FA" w:rsidP="001C22D0">
            <w:pPr>
              <w:rPr>
                <w:rFonts w:asciiTheme="majorHAnsi" w:hAnsiTheme="majorHAnsi"/>
              </w:rPr>
            </w:pPr>
          </w:p>
          <w:p w14:paraId="17BF979D" w14:textId="77777777" w:rsidR="001917FA" w:rsidRDefault="001917FA" w:rsidP="001C22D0">
            <w:pPr>
              <w:rPr>
                <w:rFonts w:asciiTheme="majorHAnsi" w:hAnsiTheme="majorHAnsi"/>
              </w:rPr>
            </w:pPr>
          </w:p>
          <w:p w14:paraId="2C2815BD" w14:textId="77777777" w:rsidR="001917FA" w:rsidRDefault="001917FA" w:rsidP="001917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Deliver extensive mental health material and revisit the SEL curriculum, both within form time and dedicated PSHE lessons.  </w:t>
            </w:r>
          </w:p>
          <w:p w14:paraId="18D6B3E0" w14:textId="77777777" w:rsidR="001917FA" w:rsidRPr="004318AE" w:rsidRDefault="001917FA" w:rsidP="001C22D0">
            <w:pPr>
              <w:rPr>
                <w:rFonts w:asciiTheme="majorHAnsi" w:hAnsiTheme="majorHAnsi"/>
              </w:rPr>
            </w:pPr>
          </w:p>
        </w:tc>
        <w:tc>
          <w:tcPr>
            <w:tcW w:w="998" w:type="pct"/>
          </w:tcPr>
          <w:p w14:paraId="060DB3CD" w14:textId="77777777" w:rsidR="001C22D0" w:rsidRPr="009A2D3B" w:rsidRDefault="009A2D3B" w:rsidP="001C22D0">
            <w:pPr>
              <w:rPr>
                <w:rFonts w:asciiTheme="majorHAnsi" w:hAnsiTheme="majorHAnsi"/>
                <w:bCs/>
              </w:rPr>
            </w:pPr>
            <w:r w:rsidRPr="009A2D3B">
              <w:rPr>
                <w:rFonts w:asciiTheme="majorHAnsi" w:hAnsiTheme="majorHAnsi"/>
                <w:bCs/>
              </w:rPr>
              <w:lastRenderedPageBreak/>
              <w:t>Daily calls made throughout lockdown</w:t>
            </w:r>
          </w:p>
          <w:p w14:paraId="5D21DA87" w14:textId="5448ACF7" w:rsidR="009A2D3B" w:rsidRPr="009A2D3B" w:rsidRDefault="009A2D3B" w:rsidP="001C22D0">
            <w:pPr>
              <w:rPr>
                <w:rFonts w:asciiTheme="majorHAnsi" w:hAnsiTheme="majorHAnsi"/>
                <w:bCs/>
              </w:rPr>
            </w:pPr>
            <w:r w:rsidRPr="009A2D3B">
              <w:rPr>
                <w:rFonts w:asciiTheme="majorHAnsi" w:hAnsiTheme="majorHAnsi"/>
                <w:bCs/>
              </w:rPr>
              <w:t>92 students brought into school to support mental health</w:t>
            </w:r>
          </w:p>
          <w:p w14:paraId="03206A96" w14:textId="0DA5A15C" w:rsidR="009A2D3B" w:rsidRPr="009A2D3B" w:rsidRDefault="009A2D3B" w:rsidP="001C22D0">
            <w:pPr>
              <w:rPr>
                <w:rFonts w:asciiTheme="majorHAnsi" w:hAnsiTheme="majorHAnsi"/>
                <w:bCs/>
              </w:rPr>
            </w:pPr>
          </w:p>
          <w:p w14:paraId="359CCC34" w14:textId="77777777" w:rsidR="009A2D3B" w:rsidRPr="009A2D3B" w:rsidRDefault="009A2D3B" w:rsidP="001C22D0">
            <w:pPr>
              <w:rPr>
                <w:rFonts w:asciiTheme="majorHAnsi" w:hAnsiTheme="majorHAnsi"/>
                <w:bCs/>
              </w:rPr>
            </w:pPr>
          </w:p>
          <w:p w14:paraId="7FBF6566" w14:textId="020153AB" w:rsidR="009A2D3B" w:rsidRPr="009A2D3B" w:rsidRDefault="009A2D3B" w:rsidP="001C22D0">
            <w:pPr>
              <w:rPr>
                <w:rFonts w:asciiTheme="majorHAnsi" w:hAnsiTheme="majorHAnsi"/>
                <w:bCs/>
                <w:color w:val="008000"/>
              </w:rPr>
            </w:pPr>
            <w:r w:rsidRPr="009A2D3B">
              <w:rPr>
                <w:rFonts w:asciiTheme="majorHAnsi" w:hAnsiTheme="majorHAnsi"/>
                <w:bCs/>
              </w:rPr>
              <w:lastRenderedPageBreak/>
              <w:t>26% students identified as needing additional support – each given a tailored approach</w:t>
            </w:r>
          </w:p>
        </w:tc>
      </w:tr>
      <w:tr w:rsidR="001C22D0" w:rsidRPr="004318AE" w14:paraId="43ED9154" w14:textId="77777777" w:rsidTr="00A2486A">
        <w:trPr>
          <w:trHeight w:val="247"/>
        </w:trPr>
        <w:tc>
          <w:tcPr>
            <w:tcW w:w="1144" w:type="pct"/>
          </w:tcPr>
          <w:p w14:paraId="1B7819D5" w14:textId="77777777" w:rsidR="001C22D0" w:rsidRDefault="001C22D0" w:rsidP="001C22D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Communication and support for our parents is provided.</w:t>
            </w:r>
          </w:p>
          <w:p w14:paraId="6983BBF2" w14:textId="77777777" w:rsidR="001C22D0" w:rsidRDefault="001C22D0" w:rsidP="001C22D0">
            <w:pPr>
              <w:rPr>
                <w:rFonts w:asciiTheme="majorHAnsi" w:hAnsiTheme="majorHAnsi"/>
              </w:rPr>
            </w:pPr>
            <w:r w:rsidRPr="00A802FF">
              <w:rPr>
                <w:rFonts w:asciiTheme="majorHAnsi" w:hAnsiTheme="majorHAnsi"/>
              </w:rPr>
              <w:t xml:space="preserve">Ensure our community is fully informed through the </w:t>
            </w:r>
            <w:r>
              <w:rPr>
                <w:rFonts w:asciiTheme="majorHAnsi" w:hAnsiTheme="majorHAnsi"/>
              </w:rPr>
              <w:t>d</w:t>
            </w:r>
            <w:r w:rsidRPr="00A802FF">
              <w:rPr>
                <w:rFonts w:asciiTheme="majorHAnsi" w:hAnsiTheme="majorHAnsi"/>
              </w:rPr>
              <w:t>evelop</w:t>
            </w:r>
            <w:r>
              <w:rPr>
                <w:rFonts w:asciiTheme="majorHAnsi" w:hAnsiTheme="majorHAnsi"/>
              </w:rPr>
              <w:t>ment of</w:t>
            </w:r>
            <w:r w:rsidRPr="00A802FF">
              <w:rPr>
                <w:rFonts w:asciiTheme="majorHAnsi" w:hAnsiTheme="majorHAnsi"/>
              </w:rPr>
              <w:t xml:space="preserve"> a clear plan </w:t>
            </w:r>
            <w:r>
              <w:rPr>
                <w:rFonts w:asciiTheme="majorHAnsi" w:hAnsiTheme="majorHAnsi"/>
              </w:rPr>
              <w:t xml:space="preserve">of </w:t>
            </w:r>
            <w:r w:rsidRPr="00A802FF">
              <w:rPr>
                <w:rFonts w:asciiTheme="majorHAnsi" w:hAnsiTheme="majorHAnsi"/>
              </w:rPr>
              <w:t>communication</w:t>
            </w:r>
            <w:r>
              <w:rPr>
                <w:rFonts w:asciiTheme="majorHAnsi" w:hAnsiTheme="majorHAnsi"/>
              </w:rPr>
              <w:t xml:space="preserve">, </w:t>
            </w:r>
            <w:r w:rsidRPr="00A802FF">
              <w:rPr>
                <w:rFonts w:asciiTheme="majorHAnsi" w:hAnsiTheme="majorHAnsi"/>
              </w:rPr>
              <w:t>with consideration</w:t>
            </w:r>
            <w:r>
              <w:rPr>
                <w:rFonts w:asciiTheme="majorHAnsi" w:hAnsiTheme="majorHAnsi"/>
              </w:rPr>
              <w:t xml:space="preserve"> for our EAL community.</w:t>
            </w:r>
          </w:p>
          <w:p w14:paraId="7DCE1C43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671F1F03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Roll out </w:t>
            </w:r>
            <w:proofErr w:type="spellStart"/>
            <w:r>
              <w:rPr>
                <w:rFonts w:asciiTheme="majorHAnsi" w:hAnsiTheme="majorHAnsi"/>
              </w:rPr>
              <w:t>SchoolCommsApp</w:t>
            </w:r>
            <w:proofErr w:type="spellEnd"/>
            <w:r>
              <w:rPr>
                <w:rFonts w:asciiTheme="majorHAnsi" w:hAnsiTheme="majorHAnsi"/>
              </w:rPr>
              <w:t xml:space="preserve"> to be used as the single platform for parental communication.</w:t>
            </w:r>
          </w:p>
          <w:p w14:paraId="2FF5ACDA" w14:textId="77777777" w:rsidR="001C22D0" w:rsidRDefault="001C22D0" w:rsidP="001C22D0">
            <w:pPr>
              <w:rPr>
                <w:rFonts w:asciiTheme="majorHAnsi" w:hAnsiTheme="majorHAnsi"/>
                <w:b/>
                <w:bCs/>
              </w:rPr>
            </w:pPr>
          </w:p>
          <w:p w14:paraId="7EF4FD36" w14:textId="77777777" w:rsidR="001C22D0" w:rsidRDefault="001C22D0" w:rsidP="001C22D0">
            <w:pPr>
              <w:rPr>
                <w:rFonts w:asciiTheme="majorHAnsi" w:hAnsiTheme="majorHAnsi"/>
                <w:b/>
                <w:bCs/>
              </w:rPr>
            </w:pPr>
          </w:p>
          <w:p w14:paraId="17A2EE8A" w14:textId="77777777" w:rsidR="001C22D0" w:rsidRDefault="001C22D0" w:rsidP="001C22D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4" w:type="pct"/>
          </w:tcPr>
          <w:p w14:paraId="60A5E997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57FF2E4E" w14:textId="77777777" w:rsidR="00056052" w:rsidRDefault="00056052" w:rsidP="00994E47">
            <w:pPr>
              <w:jc w:val="center"/>
              <w:rPr>
                <w:rFonts w:asciiTheme="majorHAnsi" w:hAnsiTheme="majorHAnsi"/>
              </w:rPr>
            </w:pPr>
          </w:p>
          <w:p w14:paraId="73A0481D" w14:textId="77777777" w:rsidR="001C22D0" w:rsidRDefault="001C22D0" w:rsidP="00994E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66FB824F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59C3019D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</w:t>
            </w:r>
            <w:r w:rsidR="00056052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>e cost.</w:t>
            </w:r>
          </w:p>
        </w:tc>
        <w:tc>
          <w:tcPr>
            <w:tcW w:w="678" w:type="pct"/>
          </w:tcPr>
          <w:p w14:paraId="2921D9F9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parents communicated with on a timely basis.</w:t>
            </w:r>
          </w:p>
        </w:tc>
        <w:tc>
          <w:tcPr>
            <w:tcW w:w="1636" w:type="pct"/>
          </w:tcPr>
          <w:p w14:paraId="12B3FB8D" w14:textId="77777777" w:rsidR="001C22D0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Rollout of </w:t>
            </w:r>
            <w:proofErr w:type="spellStart"/>
            <w:r>
              <w:rPr>
                <w:rFonts w:asciiTheme="majorHAnsi" w:hAnsiTheme="majorHAnsi"/>
              </w:rPr>
              <w:t>SchoolComms</w:t>
            </w:r>
            <w:proofErr w:type="spellEnd"/>
            <w:r>
              <w:rPr>
                <w:rFonts w:asciiTheme="majorHAnsi" w:hAnsiTheme="majorHAnsi"/>
              </w:rPr>
              <w:t xml:space="preserve"> App</w:t>
            </w:r>
          </w:p>
          <w:p w14:paraId="1DC61EC0" w14:textId="77777777" w:rsidR="001C22D0" w:rsidRDefault="001C22D0" w:rsidP="001917F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A802FF">
              <w:rPr>
                <w:rFonts w:asciiTheme="majorHAnsi" w:hAnsiTheme="majorHAnsi"/>
              </w:rPr>
              <w:t>enable all communications to be delivered directly to our parents’ phones, using simple clear terminology.</w:t>
            </w:r>
          </w:p>
          <w:p w14:paraId="54966D03" w14:textId="77777777" w:rsidR="001C22D0" w:rsidRDefault="001C22D0" w:rsidP="001917F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A802FF">
              <w:rPr>
                <w:rFonts w:asciiTheme="majorHAnsi" w:hAnsiTheme="majorHAnsi"/>
              </w:rPr>
              <w:t>Communication of the extra-curricular and catch up provision, Saturday school and other interventions are all shared with parents to encourage parental support.</w:t>
            </w:r>
          </w:p>
          <w:p w14:paraId="29E0EDF3" w14:textId="77777777" w:rsidR="001C22D0" w:rsidRPr="00A802FF" w:rsidRDefault="001C22D0" w:rsidP="001917F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Continue to communicate via the website and texts / letters where required but </w:t>
            </w:r>
            <w:r>
              <w:rPr>
                <w:rFonts w:asciiTheme="majorHAnsi" w:hAnsiTheme="majorHAnsi"/>
              </w:rPr>
              <w:lastRenderedPageBreak/>
              <w:t xml:space="preserve">measure the impact of </w:t>
            </w:r>
            <w:proofErr w:type="spellStart"/>
            <w:r>
              <w:rPr>
                <w:rFonts w:asciiTheme="majorHAnsi" w:hAnsiTheme="majorHAnsi"/>
              </w:rPr>
              <w:t>SchoolCommsApp</w:t>
            </w:r>
            <w:proofErr w:type="spellEnd"/>
            <w:r>
              <w:rPr>
                <w:rFonts w:asciiTheme="majorHAnsi" w:hAnsiTheme="majorHAnsi"/>
              </w:rPr>
              <w:t xml:space="preserve"> as a single portal for communication.</w:t>
            </w:r>
          </w:p>
          <w:p w14:paraId="35153F4C" w14:textId="77777777" w:rsidR="001C22D0" w:rsidRDefault="001C22D0" w:rsidP="001C22D0">
            <w:pPr>
              <w:rPr>
                <w:rFonts w:asciiTheme="majorHAnsi" w:hAnsiTheme="majorHAnsi"/>
              </w:rPr>
            </w:pPr>
          </w:p>
          <w:p w14:paraId="0B2A0D0C" w14:textId="77777777" w:rsidR="001C22D0" w:rsidRPr="006F0162" w:rsidRDefault="001C22D0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Conduct a parental survey to understand where we can improve our communication.</w:t>
            </w:r>
          </w:p>
          <w:p w14:paraId="67432EF1" w14:textId="77777777" w:rsidR="001C22D0" w:rsidRPr="006F0162" w:rsidRDefault="001C22D0" w:rsidP="001C22D0">
            <w:pPr>
              <w:rPr>
                <w:rFonts w:asciiTheme="majorHAnsi" w:hAnsiTheme="majorHAnsi"/>
              </w:rPr>
            </w:pPr>
          </w:p>
        </w:tc>
        <w:tc>
          <w:tcPr>
            <w:tcW w:w="998" w:type="pct"/>
          </w:tcPr>
          <w:p w14:paraId="176CCC7D" w14:textId="6CFE8B9B" w:rsidR="001C22D0" w:rsidRPr="009A2D3B" w:rsidRDefault="009A2D3B" w:rsidP="001C22D0">
            <w:pPr>
              <w:rPr>
                <w:rFonts w:asciiTheme="majorHAnsi" w:hAnsiTheme="majorHAnsi"/>
                <w:bCs/>
                <w:color w:val="00B050"/>
              </w:rPr>
            </w:pPr>
            <w:r w:rsidRPr="009A2D3B">
              <w:rPr>
                <w:rFonts w:asciiTheme="majorHAnsi" w:hAnsiTheme="majorHAnsi"/>
                <w:bCs/>
              </w:rPr>
              <w:lastRenderedPageBreak/>
              <w:t>96% students signed up. All communications now run through the school gateway app.</w:t>
            </w:r>
          </w:p>
        </w:tc>
      </w:tr>
      <w:tr w:rsidR="009A2D3B" w:rsidRPr="004318AE" w14:paraId="71A648FD" w14:textId="77777777" w:rsidTr="00A2486A">
        <w:trPr>
          <w:trHeight w:val="247"/>
        </w:trPr>
        <w:tc>
          <w:tcPr>
            <w:tcW w:w="1144" w:type="pct"/>
          </w:tcPr>
          <w:p w14:paraId="065429F1" w14:textId="77777777" w:rsidR="009A2D3B" w:rsidRDefault="009A2D3B" w:rsidP="001C22D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Provision of </w:t>
            </w:r>
            <w:proofErr w:type="gramStart"/>
            <w:r>
              <w:rPr>
                <w:rFonts w:asciiTheme="majorHAnsi" w:hAnsiTheme="majorHAnsi"/>
                <w:b/>
                <w:bCs/>
              </w:rPr>
              <w:t>basics;</w:t>
            </w:r>
            <w:proofErr w:type="gramEnd"/>
          </w:p>
          <w:p w14:paraId="7A063693" w14:textId="77777777" w:rsidR="009A2D3B" w:rsidRDefault="009A2D3B" w:rsidP="001C22D0">
            <w:pPr>
              <w:rPr>
                <w:rFonts w:asciiTheme="majorHAnsi" w:hAnsiTheme="majorHAnsi"/>
              </w:rPr>
            </w:pPr>
            <w:r w:rsidRPr="008A62FF">
              <w:rPr>
                <w:rFonts w:asciiTheme="majorHAnsi" w:hAnsiTheme="majorHAnsi"/>
              </w:rPr>
              <w:t>Sta</w:t>
            </w:r>
            <w:r w:rsidR="008A62FF">
              <w:rPr>
                <w:rFonts w:asciiTheme="majorHAnsi" w:hAnsiTheme="majorHAnsi"/>
              </w:rPr>
              <w:t>t</w:t>
            </w:r>
            <w:r w:rsidRPr="008A62FF">
              <w:rPr>
                <w:rFonts w:asciiTheme="majorHAnsi" w:hAnsiTheme="majorHAnsi"/>
              </w:rPr>
              <w:t>ionary</w:t>
            </w:r>
          </w:p>
          <w:p w14:paraId="3929A887" w14:textId="77777777" w:rsidR="008A62FF" w:rsidRDefault="008A62FF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Calculators</w:t>
            </w:r>
          </w:p>
          <w:p w14:paraId="7966786A" w14:textId="6F50601D" w:rsidR="008A62FF" w:rsidRPr="008A62FF" w:rsidRDefault="008A62FF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guides</w:t>
            </w:r>
          </w:p>
        </w:tc>
        <w:tc>
          <w:tcPr>
            <w:tcW w:w="544" w:type="pct"/>
          </w:tcPr>
          <w:p w14:paraId="608A1C18" w14:textId="77777777" w:rsidR="008A62FF" w:rsidRDefault="008A62FF" w:rsidP="00994E47">
            <w:pPr>
              <w:jc w:val="center"/>
              <w:rPr>
                <w:rFonts w:asciiTheme="majorHAnsi" w:hAnsiTheme="majorHAnsi"/>
              </w:rPr>
            </w:pPr>
          </w:p>
          <w:p w14:paraId="0851A38E" w14:textId="77777777" w:rsidR="009A2D3B" w:rsidRDefault="009A2D3B" w:rsidP="00994E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16B2C05A" w14:textId="77777777" w:rsidR="008A62FF" w:rsidRDefault="008A62FF" w:rsidP="00994E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14:paraId="6B267F81" w14:textId="6289F1F8" w:rsidR="008A62FF" w:rsidRDefault="008A62FF" w:rsidP="00994E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78" w:type="pct"/>
          </w:tcPr>
          <w:p w14:paraId="3EF66196" w14:textId="22521962" w:rsidR="009A2D3B" w:rsidRDefault="009A2D3B" w:rsidP="001C22D0">
            <w:pPr>
              <w:rPr>
                <w:rFonts w:asciiTheme="majorHAnsi" w:hAnsiTheme="majorHAnsi"/>
              </w:rPr>
            </w:pPr>
          </w:p>
        </w:tc>
        <w:tc>
          <w:tcPr>
            <w:tcW w:w="1636" w:type="pct"/>
          </w:tcPr>
          <w:p w14:paraId="6DE088CB" w14:textId="77777777" w:rsidR="009A2D3B" w:rsidRDefault="009A2D3B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Buses sent out with food and stationary packages</w:t>
            </w:r>
          </w:p>
          <w:p w14:paraId="0D0A9CB9" w14:textId="3755A559" w:rsidR="008A62FF" w:rsidRDefault="008A62FF" w:rsidP="001C2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given access to a calculator each and texts specific to their learning</w:t>
            </w:r>
          </w:p>
        </w:tc>
        <w:tc>
          <w:tcPr>
            <w:tcW w:w="998" w:type="pct"/>
          </w:tcPr>
          <w:p w14:paraId="68B9FAA0" w14:textId="6BB518C7" w:rsidR="009A2D3B" w:rsidRDefault="009A2D3B" w:rsidP="001C22D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650 food packages delivered</w:t>
            </w:r>
          </w:p>
          <w:p w14:paraId="1D848C25" w14:textId="6190089A" w:rsidR="008A62FF" w:rsidRDefault="008A62FF" w:rsidP="001C22D0">
            <w:pPr>
              <w:rPr>
                <w:rFonts w:asciiTheme="majorHAnsi" w:hAnsiTheme="majorHAnsi"/>
                <w:bCs/>
              </w:rPr>
            </w:pPr>
          </w:p>
          <w:p w14:paraId="6B2B27E4" w14:textId="23A0BE87" w:rsidR="009A2D3B" w:rsidRPr="009A2D3B" w:rsidRDefault="009A2D3B" w:rsidP="001C22D0">
            <w:pPr>
              <w:rPr>
                <w:rFonts w:asciiTheme="majorHAnsi" w:hAnsiTheme="majorHAnsi"/>
                <w:bCs/>
              </w:rPr>
            </w:pPr>
          </w:p>
        </w:tc>
      </w:tr>
    </w:tbl>
    <w:p w14:paraId="0BED2D05" w14:textId="77777777" w:rsidR="00536F24" w:rsidRDefault="00536F24">
      <w:pPr>
        <w:rPr>
          <w:rFonts w:asciiTheme="majorHAnsi" w:hAnsiTheme="majorHAnsi"/>
        </w:rPr>
      </w:pPr>
    </w:p>
    <w:p w14:paraId="24E4C2B4" w14:textId="77777777" w:rsidR="001B6EE2" w:rsidRPr="004318AE" w:rsidRDefault="001B6EE2">
      <w:pPr>
        <w:rPr>
          <w:rFonts w:asciiTheme="majorHAnsi" w:hAnsiTheme="majorHAnsi"/>
        </w:rPr>
      </w:pPr>
    </w:p>
    <w:sectPr w:rsidR="001B6EE2" w:rsidRPr="004318AE" w:rsidSect="00CF6461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002D" w14:textId="77777777" w:rsidR="009A2D3B" w:rsidRDefault="009A2D3B" w:rsidP="00606B73">
      <w:r>
        <w:separator/>
      </w:r>
    </w:p>
  </w:endnote>
  <w:endnote w:type="continuationSeparator" w:id="0">
    <w:p w14:paraId="2656C5FA" w14:textId="77777777" w:rsidR="009A2D3B" w:rsidRDefault="009A2D3B" w:rsidP="006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6533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3C5B4" w14:textId="77777777" w:rsidR="00E22A8C" w:rsidRDefault="00E22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486B2" w14:textId="77777777" w:rsidR="00E22A8C" w:rsidRDefault="00E2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3B78" w14:textId="77777777" w:rsidR="009A2D3B" w:rsidRDefault="009A2D3B" w:rsidP="00606B73">
      <w:r>
        <w:separator/>
      </w:r>
    </w:p>
  </w:footnote>
  <w:footnote w:type="continuationSeparator" w:id="0">
    <w:p w14:paraId="0DE8B730" w14:textId="77777777" w:rsidR="009A2D3B" w:rsidRDefault="009A2D3B" w:rsidP="006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2340" w14:textId="54224276" w:rsidR="00606B73" w:rsidRPr="00A51FE3" w:rsidRDefault="008717C9" w:rsidP="00A51FE3">
    <w:pPr>
      <w:pStyle w:val="Header"/>
      <w:rPr>
        <w:rFonts w:asciiTheme="majorHAnsi" w:hAnsiTheme="majorHAnsi" w:cstheme="majorHAnsi"/>
        <w:b/>
        <w:bCs/>
        <w:lang w:val="en-GB"/>
      </w:rPr>
    </w:pPr>
    <w:r>
      <w:rPr>
        <w:rFonts w:asciiTheme="majorHAnsi" w:hAnsiTheme="majorHAnsi" w:cstheme="majorHAnsi"/>
        <w:b/>
        <w:bCs/>
        <w:lang w:val="en-GB"/>
      </w:rPr>
      <w:t xml:space="preserve">Catch up provision </w:t>
    </w:r>
    <w:r w:rsidR="00606B73" w:rsidRPr="00A51FE3">
      <w:rPr>
        <w:rFonts w:asciiTheme="majorHAnsi" w:hAnsiTheme="majorHAnsi" w:cstheme="majorHAnsi"/>
        <w:b/>
        <w:bCs/>
        <w:lang w:val="en-GB"/>
      </w:rPr>
      <w:t>20</w:t>
    </w:r>
    <w:r>
      <w:rPr>
        <w:rFonts w:asciiTheme="majorHAnsi" w:hAnsiTheme="majorHAnsi" w:cstheme="majorHAnsi"/>
        <w:b/>
        <w:bCs/>
        <w:lang w:val="en-GB"/>
      </w:rPr>
      <w:t>20</w:t>
    </w:r>
    <w:r w:rsidR="00606B73" w:rsidRPr="00A51FE3">
      <w:rPr>
        <w:rFonts w:asciiTheme="majorHAnsi" w:hAnsiTheme="majorHAnsi" w:cstheme="majorHAnsi"/>
        <w:b/>
        <w:bCs/>
        <w:lang w:val="en-GB"/>
      </w:rPr>
      <w:t>-202</w:t>
    </w:r>
    <w:r>
      <w:rPr>
        <w:rFonts w:asciiTheme="majorHAnsi" w:hAnsiTheme="majorHAnsi" w:cstheme="majorHAnsi"/>
        <w:b/>
        <w:bCs/>
        <w:lang w:val="en-GB"/>
      </w:rPr>
      <w:t>1</w:t>
    </w:r>
    <w:r w:rsidR="0079786C">
      <w:rPr>
        <w:rFonts w:asciiTheme="majorHAnsi" w:hAnsiTheme="majorHAnsi" w:cstheme="majorHAnsi"/>
        <w:b/>
        <w:bCs/>
        <w:lang w:val="en-GB"/>
      </w:rPr>
      <w:t xml:space="preserve"> (Reviewed </w:t>
    </w:r>
    <w:r w:rsidR="009A2D3B">
      <w:rPr>
        <w:rFonts w:asciiTheme="majorHAnsi" w:hAnsiTheme="majorHAnsi" w:cstheme="majorHAnsi"/>
        <w:b/>
        <w:bCs/>
        <w:lang w:val="en-GB"/>
      </w:rPr>
      <w:t>March</w:t>
    </w:r>
    <w:r w:rsidR="0079786C">
      <w:rPr>
        <w:rFonts w:asciiTheme="majorHAnsi" w:hAnsiTheme="majorHAnsi" w:cstheme="majorHAnsi"/>
        <w:b/>
        <w:bCs/>
        <w:lang w:val="en-GB"/>
      </w:rPr>
      <w:t xml:space="preserve"> 202</w:t>
    </w:r>
    <w:r w:rsidR="009A2D3B">
      <w:rPr>
        <w:rFonts w:asciiTheme="majorHAnsi" w:hAnsiTheme="majorHAnsi" w:cstheme="majorHAnsi"/>
        <w:b/>
        <w:bCs/>
        <w:lang w:val="en-GB"/>
      </w:rPr>
      <w:t>1</w:t>
    </w:r>
    <w:r w:rsidR="0079786C">
      <w:rPr>
        <w:rFonts w:asciiTheme="majorHAnsi" w:hAnsiTheme="majorHAnsi" w:cstheme="majorHAnsi"/>
        <w:b/>
        <w:bCs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0D3F"/>
    <w:multiLevelType w:val="hybridMultilevel"/>
    <w:tmpl w:val="A03204D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270670B"/>
    <w:multiLevelType w:val="hybridMultilevel"/>
    <w:tmpl w:val="99CE15FA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799B"/>
    <w:multiLevelType w:val="hybridMultilevel"/>
    <w:tmpl w:val="09E26BDE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758D7559"/>
    <w:multiLevelType w:val="hybridMultilevel"/>
    <w:tmpl w:val="71B6EB62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06192"/>
    <w:multiLevelType w:val="hybridMultilevel"/>
    <w:tmpl w:val="F5764CD4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707E"/>
    <w:multiLevelType w:val="hybridMultilevel"/>
    <w:tmpl w:val="C46E4624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B"/>
    <w:rsid w:val="000116F7"/>
    <w:rsid w:val="0001538C"/>
    <w:rsid w:val="0001754B"/>
    <w:rsid w:val="000479A0"/>
    <w:rsid w:val="00047D73"/>
    <w:rsid w:val="000545E7"/>
    <w:rsid w:val="00056052"/>
    <w:rsid w:val="00061304"/>
    <w:rsid w:val="000803C2"/>
    <w:rsid w:val="00082BD2"/>
    <w:rsid w:val="000915DA"/>
    <w:rsid w:val="000A5D78"/>
    <w:rsid w:val="000A60EA"/>
    <w:rsid w:val="000A7FB8"/>
    <w:rsid w:val="000B2A1F"/>
    <w:rsid w:val="000B6655"/>
    <w:rsid w:val="000C2FD9"/>
    <w:rsid w:val="000F256E"/>
    <w:rsid w:val="000F7E6D"/>
    <w:rsid w:val="00103B98"/>
    <w:rsid w:val="00104A0C"/>
    <w:rsid w:val="00106A03"/>
    <w:rsid w:val="00106E3C"/>
    <w:rsid w:val="001257C9"/>
    <w:rsid w:val="00130387"/>
    <w:rsid w:val="001438C9"/>
    <w:rsid w:val="001441F0"/>
    <w:rsid w:val="0014468D"/>
    <w:rsid w:val="00150403"/>
    <w:rsid w:val="00152BF5"/>
    <w:rsid w:val="00154152"/>
    <w:rsid w:val="00166102"/>
    <w:rsid w:val="00166E57"/>
    <w:rsid w:val="0017294B"/>
    <w:rsid w:val="00173121"/>
    <w:rsid w:val="001763B9"/>
    <w:rsid w:val="00180C03"/>
    <w:rsid w:val="001811A4"/>
    <w:rsid w:val="00181296"/>
    <w:rsid w:val="00182CC4"/>
    <w:rsid w:val="001907B8"/>
    <w:rsid w:val="001917FA"/>
    <w:rsid w:val="001A48F5"/>
    <w:rsid w:val="001A5D96"/>
    <w:rsid w:val="001B59D7"/>
    <w:rsid w:val="001B6EE2"/>
    <w:rsid w:val="001C22D0"/>
    <w:rsid w:val="001C4C35"/>
    <w:rsid w:val="001D3979"/>
    <w:rsid w:val="001D5FD7"/>
    <w:rsid w:val="001D6D79"/>
    <w:rsid w:val="001D71AD"/>
    <w:rsid w:val="001E53EE"/>
    <w:rsid w:val="001F4797"/>
    <w:rsid w:val="001F56DA"/>
    <w:rsid w:val="001F7F56"/>
    <w:rsid w:val="00200C4F"/>
    <w:rsid w:val="002069A1"/>
    <w:rsid w:val="002111F0"/>
    <w:rsid w:val="00212ABF"/>
    <w:rsid w:val="00215EE6"/>
    <w:rsid w:val="00221A94"/>
    <w:rsid w:val="0023370A"/>
    <w:rsid w:val="002355D6"/>
    <w:rsid w:val="002433BA"/>
    <w:rsid w:val="002554E1"/>
    <w:rsid w:val="002629BC"/>
    <w:rsid w:val="00265E50"/>
    <w:rsid w:val="00284411"/>
    <w:rsid w:val="002848B5"/>
    <w:rsid w:val="0028670B"/>
    <w:rsid w:val="0028671F"/>
    <w:rsid w:val="0028733E"/>
    <w:rsid w:val="00293B6E"/>
    <w:rsid w:val="00294FD8"/>
    <w:rsid w:val="0029565A"/>
    <w:rsid w:val="00297457"/>
    <w:rsid w:val="002C7162"/>
    <w:rsid w:val="002D1B96"/>
    <w:rsid w:val="002E339B"/>
    <w:rsid w:val="002E36AA"/>
    <w:rsid w:val="002E38E4"/>
    <w:rsid w:val="002E7D60"/>
    <w:rsid w:val="002F5014"/>
    <w:rsid w:val="002F5F3A"/>
    <w:rsid w:val="00307B59"/>
    <w:rsid w:val="0031177D"/>
    <w:rsid w:val="00316916"/>
    <w:rsid w:val="00325C25"/>
    <w:rsid w:val="00326BFE"/>
    <w:rsid w:val="00342E99"/>
    <w:rsid w:val="00346664"/>
    <w:rsid w:val="00346C81"/>
    <w:rsid w:val="00350B6C"/>
    <w:rsid w:val="00362A85"/>
    <w:rsid w:val="00380A55"/>
    <w:rsid w:val="003942DB"/>
    <w:rsid w:val="003A5BF6"/>
    <w:rsid w:val="003C216E"/>
    <w:rsid w:val="003C6880"/>
    <w:rsid w:val="003D2205"/>
    <w:rsid w:val="003F0603"/>
    <w:rsid w:val="004045D2"/>
    <w:rsid w:val="004144A5"/>
    <w:rsid w:val="0042565F"/>
    <w:rsid w:val="004260E7"/>
    <w:rsid w:val="0042660E"/>
    <w:rsid w:val="00426DD4"/>
    <w:rsid w:val="004318AE"/>
    <w:rsid w:val="004433F2"/>
    <w:rsid w:val="00453AB1"/>
    <w:rsid w:val="004669F1"/>
    <w:rsid w:val="0048367A"/>
    <w:rsid w:val="00490BCD"/>
    <w:rsid w:val="00492C01"/>
    <w:rsid w:val="004A3415"/>
    <w:rsid w:val="004B127D"/>
    <w:rsid w:val="004B37EF"/>
    <w:rsid w:val="004B5351"/>
    <w:rsid w:val="004D0C04"/>
    <w:rsid w:val="004E0BEA"/>
    <w:rsid w:val="005105A1"/>
    <w:rsid w:val="00511EE7"/>
    <w:rsid w:val="00512C37"/>
    <w:rsid w:val="0051397F"/>
    <w:rsid w:val="0051403F"/>
    <w:rsid w:val="0051432C"/>
    <w:rsid w:val="005162D2"/>
    <w:rsid w:val="00520A8E"/>
    <w:rsid w:val="0052193E"/>
    <w:rsid w:val="00523D46"/>
    <w:rsid w:val="0052496A"/>
    <w:rsid w:val="00525875"/>
    <w:rsid w:val="005264BA"/>
    <w:rsid w:val="00534EF3"/>
    <w:rsid w:val="00536F24"/>
    <w:rsid w:val="0055163E"/>
    <w:rsid w:val="00553733"/>
    <w:rsid w:val="005554C0"/>
    <w:rsid w:val="00561899"/>
    <w:rsid w:val="00562759"/>
    <w:rsid w:val="00562FB6"/>
    <w:rsid w:val="0056351A"/>
    <w:rsid w:val="00565F0B"/>
    <w:rsid w:val="005715AC"/>
    <w:rsid w:val="005721CA"/>
    <w:rsid w:val="00580E6F"/>
    <w:rsid w:val="00586447"/>
    <w:rsid w:val="005A0C22"/>
    <w:rsid w:val="005B1C17"/>
    <w:rsid w:val="005B3122"/>
    <w:rsid w:val="005C0CD8"/>
    <w:rsid w:val="005C2F00"/>
    <w:rsid w:val="005C6421"/>
    <w:rsid w:val="005C77A0"/>
    <w:rsid w:val="005E18B1"/>
    <w:rsid w:val="005F0A36"/>
    <w:rsid w:val="006010AE"/>
    <w:rsid w:val="00606B73"/>
    <w:rsid w:val="00610C27"/>
    <w:rsid w:val="006150D0"/>
    <w:rsid w:val="0062408B"/>
    <w:rsid w:val="00637304"/>
    <w:rsid w:val="006500D4"/>
    <w:rsid w:val="00652D6B"/>
    <w:rsid w:val="00652E79"/>
    <w:rsid w:val="0065393A"/>
    <w:rsid w:val="0066025C"/>
    <w:rsid w:val="00667A86"/>
    <w:rsid w:val="00677E49"/>
    <w:rsid w:val="0068339C"/>
    <w:rsid w:val="0068712E"/>
    <w:rsid w:val="006959F2"/>
    <w:rsid w:val="006A5D0C"/>
    <w:rsid w:val="006A673E"/>
    <w:rsid w:val="006A68D7"/>
    <w:rsid w:val="006B4C31"/>
    <w:rsid w:val="006B5E6C"/>
    <w:rsid w:val="006B68C7"/>
    <w:rsid w:val="006B751F"/>
    <w:rsid w:val="006C0969"/>
    <w:rsid w:val="006C1989"/>
    <w:rsid w:val="006C388E"/>
    <w:rsid w:val="006E1997"/>
    <w:rsid w:val="006F0162"/>
    <w:rsid w:val="006F28FC"/>
    <w:rsid w:val="006F442D"/>
    <w:rsid w:val="006F4D28"/>
    <w:rsid w:val="00700C1F"/>
    <w:rsid w:val="007148AE"/>
    <w:rsid w:val="007261FE"/>
    <w:rsid w:val="0072670A"/>
    <w:rsid w:val="00730B44"/>
    <w:rsid w:val="00742926"/>
    <w:rsid w:val="00742CE8"/>
    <w:rsid w:val="00743582"/>
    <w:rsid w:val="0074378D"/>
    <w:rsid w:val="00751D7B"/>
    <w:rsid w:val="00753688"/>
    <w:rsid w:val="0075428D"/>
    <w:rsid w:val="007721C1"/>
    <w:rsid w:val="00773019"/>
    <w:rsid w:val="00776952"/>
    <w:rsid w:val="00783B39"/>
    <w:rsid w:val="007865FC"/>
    <w:rsid w:val="00786E28"/>
    <w:rsid w:val="0079603D"/>
    <w:rsid w:val="007975A9"/>
    <w:rsid w:val="0079786C"/>
    <w:rsid w:val="00797CE3"/>
    <w:rsid w:val="007A4DA6"/>
    <w:rsid w:val="007B1261"/>
    <w:rsid w:val="007B7F10"/>
    <w:rsid w:val="007C09CA"/>
    <w:rsid w:val="007C48E7"/>
    <w:rsid w:val="007D5006"/>
    <w:rsid w:val="007D6E5A"/>
    <w:rsid w:val="007E045B"/>
    <w:rsid w:val="007E57DD"/>
    <w:rsid w:val="007E764F"/>
    <w:rsid w:val="007F5775"/>
    <w:rsid w:val="007F77DD"/>
    <w:rsid w:val="0080198F"/>
    <w:rsid w:val="00802B5C"/>
    <w:rsid w:val="008030DA"/>
    <w:rsid w:val="0082098D"/>
    <w:rsid w:val="00825D59"/>
    <w:rsid w:val="008271DC"/>
    <w:rsid w:val="00841CE4"/>
    <w:rsid w:val="00855935"/>
    <w:rsid w:val="00856613"/>
    <w:rsid w:val="00862D47"/>
    <w:rsid w:val="008630EC"/>
    <w:rsid w:val="00865B31"/>
    <w:rsid w:val="00867451"/>
    <w:rsid w:val="00867B31"/>
    <w:rsid w:val="00867E89"/>
    <w:rsid w:val="008713C1"/>
    <w:rsid w:val="008717C9"/>
    <w:rsid w:val="00881342"/>
    <w:rsid w:val="00881DA5"/>
    <w:rsid w:val="008903F9"/>
    <w:rsid w:val="00893CAC"/>
    <w:rsid w:val="0089600B"/>
    <w:rsid w:val="00897C4B"/>
    <w:rsid w:val="008A07DB"/>
    <w:rsid w:val="008A3D1A"/>
    <w:rsid w:val="008A62FF"/>
    <w:rsid w:val="008A7AC9"/>
    <w:rsid w:val="008B28F2"/>
    <w:rsid w:val="008B4513"/>
    <w:rsid w:val="008D5826"/>
    <w:rsid w:val="008E57D0"/>
    <w:rsid w:val="008F2232"/>
    <w:rsid w:val="009038ED"/>
    <w:rsid w:val="009060FF"/>
    <w:rsid w:val="00914CD3"/>
    <w:rsid w:val="00917F4B"/>
    <w:rsid w:val="0092203D"/>
    <w:rsid w:val="00930E92"/>
    <w:rsid w:val="00932945"/>
    <w:rsid w:val="00932B2B"/>
    <w:rsid w:val="00947D9C"/>
    <w:rsid w:val="00950914"/>
    <w:rsid w:val="00960FF3"/>
    <w:rsid w:val="00961AFA"/>
    <w:rsid w:val="00963ED1"/>
    <w:rsid w:val="00966994"/>
    <w:rsid w:val="009679AE"/>
    <w:rsid w:val="009746E1"/>
    <w:rsid w:val="0099387E"/>
    <w:rsid w:val="00994E47"/>
    <w:rsid w:val="00997155"/>
    <w:rsid w:val="009A2473"/>
    <w:rsid w:val="009A2D3B"/>
    <w:rsid w:val="009A7B1C"/>
    <w:rsid w:val="009C223D"/>
    <w:rsid w:val="009C5CF3"/>
    <w:rsid w:val="009D05BB"/>
    <w:rsid w:val="009D37B9"/>
    <w:rsid w:val="009D6517"/>
    <w:rsid w:val="009E109F"/>
    <w:rsid w:val="009E4995"/>
    <w:rsid w:val="009E5B3F"/>
    <w:rsid w:val="009E7853"/>
    <w:rsid w:val="009F0A4C"/>
    <w:rsid w:val="009F503D"/>
    <w:rsid w:val="00A04948"/>
    <w:rsid w:val="00A0556E"/>
    <w:rsid w:val="00A12AD5"/>
    <w:rsid w:val="00A20422"/>
    <w:rsid w:val="00A2486A"/>
    <w:rsid w:val="00A31183"/>
    <w:rsid w:val="00A36B76"/>
    <w:rsid w:val="00A418B0"/>
    <w:rsid w:val="00A454D7"/>
    <w:rsid w:val="00A5154E"/>
    <w:rsid w:val="00A51F56"/>
    <w:rsid w:val="00A51FE3"/>
    <w:rsid w:val="00A678E1"/>
    <w:rsid w:val="00A72DE4"/>
    <w:rsid w:val="00A72E5D"/>
    <w:rsid w:val="00A802FF"/>
    <w:rsid w:val="00AA041B"/>
    <w:rsid w:val="00AA17F5"/>
    <w:rsid w:val="00AA2276"/>
    <w:rsid w:val="00AB3303"/>
    <w:rsid w:val="00AB4ACE"/>
    <w:rsid w:val="00AC7964"/>
    <w:rsid w:val="00AE7FCC"/>
    <w:rsid w:val="00AF5CF8"/>
    <w:rsid w:val="00B00721"/>
    <w:rsid w:val="00B046FE"/>
    <w:rsid w:val="00B1100C"/>
    <w:rsid w:val="00B120C8"/>
    <w:rsid w:val="00B249AF"/>
    <w:rsid w:val="00B277F6"/>
    <w:rsid w:val="00B33815"/>
    <w:rsid w:val="00B4085B"/>
    <w:rsid w:val="00B44BA2"/>
    <w:rsid w:val="00B5049E"/>
    <w:rsid w:val="00B64FDE"/>
    <w:rsid w:val="00B65D5B"/>
    <w:rsid w:val="00B66096"/>
    <w:rsid w:val="00B666F6"/>
    <w:rsid w:val="00B67E9B"/>
    <w:rsid w:val="00B72C73"/>
    <w:rsid w:val="00B8358E"/>
    <w:rsid w:val="00B84B5E"/>
    <w:rsid w:val="00B90B41"/>
    <w:rsid w:val="00BB017F"/>
    <w:rsid w:val="00BB04E2"/>
    <w:rsid w:val="00BB743E"/>
    <w:rsid w:val="00BC37EA"/>
    <w:rsid w:val="00BC644F"/>
    <w:rsid w:val="00BD49E8"/>
    <w:rsid w:val="00BE1A17"/>
    <w:rsid w:val="00BE35F2"/>
    <w:rsid w:val="00BE7A46"/>
    <w:rsid w:val="00BF0CE9"/>
    <w:rsid w:val="00BF3EC8"/>
    <w:rsid w:val="00BF4F28"/>
    <w:rsid w:val="00C02C54"/>
    <w:rsid w:val="00C07355"/>
    <w:rsid w:val="00C111F3"/>
    <w:rsid w:val="00C1778A"/>
    <w:rsid w:val="00C314E8"/>
    <w:rsid w:val="00C34A74"/>
    <w:rsid w:val="00C4679F"/>
    <w:rsid w:val="00C512F9"/>
    <w:rsid w:val="00C67586"/>
    <w:rsid w:val="00C71399"/>
    <w:rsid w:val="00C71428"/>
    <w:rsid w:val="00C77326"/>
    <w:rsid w:val="00C8217E"/>
    <w:rsid w:val="00C86725"/>
    <w:rsid w:val="00C920C9"/>
    <w:rsid w:val="00C966A1"/>
    <w:rsid w:val="00CA19D4"/>
    <w:rsid w:val="00CA1AF9"/>
    <w:rsid w:val="00CA73D8"/>
    <w:rsid w:val="00CB79E4"/>
    <w:rsid w:val="00CC2EED"/>
    <w:rsid w:val="00CD2652"/>
    <w:rsid w:val="00CE10A5"/>
    <w:rsid w:val="00CE3D83"/>
    <w:rsid w:val="00CE512D"/>
    <w:rsid w:val="00CF3228"/>
    <w:rsid w:val="00CF4C1F"/>
    <w:rsid w:val="00CF6461"/>
    <w:rsid w:val="00D13F92"/>
    <w:rsid w:val="00D14068"/>
    <w:rsid w:val="00D2103F"/>
    <w:rsid w:val="00D21105"/>
    <w:rsid w:val="00D22048"/>
    <w:rsid w:val="00D226A2"/>
    <w:rsid w:val="00D30C8D"/>
    <w:rsid w:val="00D31BBF"/>
    <w:rsid w:val="00D40280"/>
    <w:rsid w:val="00D53DB0"/>
    <w:rsid w:val="00D60051"/>
    <w:rsid w:val="00D60AC1"/>
    <w:rsid w:val="00D60EFB"/>
    <w:rsid w:val="00D64ACA"/>
    <w:rsid w:val="00D81093"/>
    <w:rsid w:val="00D81697"/>
    <w:rsid w:val="00D8626F"/>
    <w:rsid w:val="00D86A04"/>
    <w:rsid w:val="00D87AD5"/>
    <w:rsid w:val="00D907A5"/>
    <w:rsid w:val="00D954B5"/>
    <w:rsid w:val="00DA1437"/>
    <w:rsid w:val="00DA5007"/>
    <w:rsid w:val="00DB0638"/>
    <w:rsid w:val="00DB0EF6"/>
    <w:rsid w:val="00DB5E29"/>
    <w:rsid w:val="00DB7D66"/>
    <w:rsid w:val="00DC1D14"/>
    <w:rsid w:val="00DC42BF"/>
    <w:rsid w:val="00DD4ADF"/>
    <w:rsid w:val="00DD5973"/>
    <w:rsid w:val="00DD72BA"/>
    <w:rsid w:val="00DF070C"/>
    <w:rsid w:val="00E065D8"/>
    <w:rsid w:val="00E07130"/>
    <w:rsid w:val="00E10A4A"/>
    <w:rsid w:val="00E120F5"/>
    <w:rsid w:val="00E22A8C"/>
    <w:rsid w:val="00E257EA"/>
    <w:rsid w:val="00E35F8B"/>
    <w:rsid w:val="00E3619D"/>
    <w:rsid w:val="00E37CFE"/>
    <w:rsid w:val="00E473A8"/>
    <w:rsid w:val="00E506F1"/>
    <w:rsid w:val="00E53257"/>
    <w:rsid w:val="00E54CA3"/>
    <w:rsid w:val="00E57837"/>
    <w:rsid w:val="00E62746"/>
    <w:rsid w:val="00E64F46"/>
    <w:rsid w:val="00E668C7"/>
    <w:rsid w:val="00E736F9"/>
    <w:rsid w:val="00E75184"/>
    <w:rsid w:val="00E75BE1"/>
    <w:rsid w:val="00E87910"/>
    <w:rsid w:val="00E9076C"/>
    <w:rsid w:val="00EA67FE"/>
    <w:rsid w:val="00EB6D60"/>
    <w:rsid w:val="00EC65E4"/>
    <w:rsid w:val="00EC7BC9"/>
    <w:rsid w:val="00ED7D25"/>
    <w:rsid w:val="00EF254C"/>
    <w:rsid w:val="00EF25F4"/>
    <w:rsid w:val="00F04116"/>
    <w:rsid w:val="00F12C85"/>
    <w:rsid w:val="00F17F60"/>
    <w:rsid w:val="00F2118C"/>
    <w:rsid w:val="00F22B40"/>
    <w:rsid w:val="00F331C1"/>
    <w:rsid w:val="00F50AE3"/>
    <w:rsid w:val="00F571B5"/>
    <w:rsid w:val="00F6143C"/>
    <w:rsid w:val="00F818D5"/>
    <w:rsid w:val="00F82007"/>
    <w:rsid w:val="00F9543D"/>
    <w:rsid w:val="00F96329"/>
    <w:rsid w:val="00F9682A"/>
    <w:rsid w:val="00FA053C"/>
    <w:rsid w:val="00FB02BE"/>
    <w:rsid w:val="00FB38FC"/>
    <w:rsid w:val="00FC6C33"/>
    <w:rsid w:val="00FD243B"/>
    <w:rsid w:val="00FD32D5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2DCE"/>
  <w14:defaultImageDpi w14:val="300"/>
  <w15:docId w15:val="{3479AC60-5649-4DBF-9207-197D616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73"/>
  </w:style>
  <w:style w:type="paragraph" w:styleId="Footer">
    <w:name w:val="footer"/>
    <w:basedOn w:val="Normal"/>
    <w:link w:val="FooterChar"/>
    <w:uiPriority w:val="99"/>
    <w:unhideWhenUsed/>
    <w:rsid w:val="00606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ylor549\OneDrive%20-%20ESSA%20Foundation%20Academies%20Trust\Intervention\2020-2021\Catch%20Up\Catch%20Up%20provision%202020-2021%20FINAL%20Master%20with%20impact%20Decembe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8F1E2-26CC-704D-B415-FC66B795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Catch Up provision 2020-2021 FINAL Master with impact December 2020</Template>
  <TotalTime>11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1</cp:revision>
  <cp:lastPrinted>2021-03-15T13:43:00Z</cp:lastPrinted>
  <dcterms:created xsi:type="dcterms:W3CDTF">2021-03-15T13:31:00Z</dcterms:created>
  <dcterms:modified xsi:type="dcterms:W3CDTF">2021-03-15T13:44:00Z</dcterms:modified>
</cp:coreProperties>
</file>